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62330FFA"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historyclause"/>
      <w:bookmarkStart w:id="2" w:name="_Toc383764588"/>
      <w:bookmarkEnd w:id="0"/>
      <w:r w:rsidRPr="00397FE2">
        <w:rPr>
          <w:bCs/>
          <w:noProof w:val="0"/>
          <w:sz w:val="24"/>
          <w:szCs w:val="24"/>
        </w:rPr>
        <w:t>3GPP TSG RAN WG1 Meeting #11</w:t>
      </w:r>
      <w:r w:rsidR="00023861">
        <w:rPr>
          <w:bCs/>
          <w:noProof w:val="0"/>
          <w:sz w:val="24"/>
          <w:szCs w:val="24"/>
        </w:rPr>
        <w:t>4</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5533C7">
        <w:rPr>
          <w:rFonts w:cs="Arial"/>
          <w:bCs/>
          <w:sz w:val="24"/>
          <w:szCs w:val="24"/>
          <w:lang w:val="en-US" w:eastAsia="zh-TW"/>
        </w:rPr>
        <w:t xml:space="preserve"> </w:t>
      </w:r>
      <w:r w:rsidR="00817820">
        <w:rPr>
          <w:rFonts w:cs="Arial"/>
          <w:bCs/>
          <w:sz w:val="24"/>
          <w:szCs w:val="24"/>
          <w:lang w:val="en-US" w:eastAsia="zh-TW"/>
        </w:rPr>
        <w:t xml:space="preserve">    </w:t>
      </w:r>
      <w:r w:rsidR="008A24F7" w:rsidRPr="008A24F7">
        <w:rPr>
          <w:rFonts w:cs="Arial"/>
          <w:bCs/>
          <w:sz w:val="24"/>
          <w:szCs w:val="24"/>
          <w:lang w:val="en-US" w:eastAsia="zh-TW"/>
        </w:rPr>
        <w:t>R1-23</w:t>
      </w:r>
      <w:r w:rsidR="00C642BC">
        <w:rPr>
          <w:rFonts w:cs="Arial"/>
          <w:bCs/>
          <w:sz w:val="24"/>
          <w:szCs w:val="24"/>
          <w:lang w:val="en-US" w:eastAsia="zh-TW"/>
        </w:rPr>
        <w:t>0</w:t>
      </w:r>
      <w:r w:rsidR="0017195E">
        <w:rPr>
          <w:rFonts w:cs="Arial"/>
          <w:bCs/>
          <w:sz w:val="24"/>
          <w:szCs w:val="24"/>
          <w:lang w:val="en-US" w:eastAsia="zh-TW"/>
        </w:rPr>
        <w:t>6814</w:t>
      </w:r>
    </w:p>
    <w:p w14:paraId="754442FB" w14:textId="4FCF8AB9" w:rsidR="003A0F5C" w:rsidRDefault="00023861" w:rsidP="00817820">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Toulouse</w:t>
      </w:r>
      <w:r w:rsidR="00206B35" w:rsidRPr="00D062F7">
        <w:rPr>
          <w:rFonts w:cs="Arial"/>
          <w:bCs/>
          <w:sz w:val="24"/>
          <w:szCs w:val="28"/>
          <w:lang w:eastAsia="zh-TW"/>
        </w:rPr>
        <w:t>,</w:t>
      </w:r>
      <w:r w:rsidR="00206B35">
        <w:rPr>
          <w:rFonts w:cs="Arial"/>
          <w:bCs/>
          <w:sz w:val="24"/>
          <w:szCs w:val="28"/>
          <w:lang w:eastAsia="zh-TW"/>
        </w:rPr>
        <w:t xml:space="preserve"> </w:t>
      </w:r>
      <w:r>
        <w:rPr>
          <w:rFonts w:cs="Arial"/>
          <w:bCs/>
          <w:sz w:val="24"/>
          <w:szCs w:val="28"/>
          <w:lang w:eastAsia="zh-TW"/>
        </w:rPr>
        <w:t>France</w:t>
      </w:r>
      <w:r w:rsidR="00177F2F" w:rsidRPr="00177F2F">
        <w:rPr>
          <w:rFonts w:cs="Arial"/>
          <w:bCs/>
          <w:sz w:val="24"/>
          <w:szCs w:val="28"/>
          <w:lang w:eastAsia="zh-TW"/>
        </w:rPr>
        <w:t xml:space="preserve">, </w:t>
      </w:r>
      <w:r>
        <w:rPr>
          <w:rFonts w:cs="Arial"/>
          <w:bCs/>
          <w:sz w:val="24"/>
          <w:szCs w:val="28"/>
          <w:lang w:eastAsia="zh-TW"/>
        </w:rPr>
        <w:t>August</w:t>
      </w:r>
      <w:r w:rsidR="00177F2F" w:rsidRPr="00177F2F">
        <w:rPr>
          <w:rFonts w:cs="Arial"/>
          <w:bCs/>
          <w:sz w:val="24"/>
          <w:szCs w:val="28"/>
          <w:lang w:eastAsia="zh-TW"/>
        </w:rPr>
        <w:t xml:space="preserve"> </w:t>
      </w:r>
      <w:r w:rsidR="00206B35">
        <w:rPr>
          <w:rFonts w:cs="Arial"/>
          <w:bCs/>
          <w:sz w:val="24"/>
          <w:szCs w:val="28"/>
          <w:lang w:eastAsia="zh-TW"/>
        </w:rPr>
        <w:t>2</w:t>
      </w:r>
      <w:r>
        <w:rPr>
          <w:rFonts w:cs="Arial"/>
          <w:bCs/>
          <w:sz w:val="24"/>
          <w:szCs w:val="28"/>
          <w:lang w:eastAsia="zh-TW"/>
        </w:rPr>
        <w:t>1</w:t>
      </w:r>
      <w:r>
        <w:rPr>
          <w:rFonts w:cs="Arial"/>
          <w:bCs/>
          <w:sz w:val="24"/>
          <w:szCs w:val="28"/>
          <w:vertAlign w:val="superscript"/>
          <w:lang w:eastAsia="zh-TW"/>
        </w:rPr>
        <w:t>st</w:t>
      </w:r>
      <w:r w:rsidR="00177F2F" w:rsidRPr="00177F2F">
        <w:rPr>
          <w:rFonts w:cs="Arial"/>
          <w:bCs/>
          <w:sz w:val="24"/>
          <w:szCs w:val="28"/>
          <w:lang w:eastAsia="zh-TW"/>
        </w:rPr>
        <w:t xml:space="preserve"> –</w:t>
      </w:r>
      <w:r w:rsidR="004538E8">
        <w:rPr>
          <w:rFonts w:cs="Arial"/>
          <w:bCs/>
          <w:sz w:val="24"/>
          <w:szCs w:val="28"/>
          <w:lang w:eastAsia="zh-TW"/>
        </w:rPr>
        <w:t xml:space="preserve"> </w:t>
      </w:r>
      <w:r w:rsidR="00177F2F" w:rsidRPr="00177F2F">
        <w:rPr>
          <w:rFonts w:cs="Arial"/>
          <w:bCs/>
          <w:sz w:val="24"/>
          <w:szCs w:val="28"/>
          <w:lang w:eastAsia="zh-TW"/>
        </w:rPr>
        <w:t>2</w:t>
      </w:r>
      <w:r>
        <w:rPr>
          <w:rFonts w:cs="Arial"/>
          <w:bCs/>
          <w:sz w:val="24"/>
          <w:szCs w:val="28"/>
          <w:lang w:eastAsia="zh-TW"/>
        </w:rPr>
        <w:t>5</w:t>
      </w:r>
      <w:r w:rsidR="00177F2F" w:rsidRPr="004538E8">
        <w:rPr>
          <w:rFonts w:cs="Arial"/>
          <w:bCs/>
          <w:sz w:val="24"/>
          <w:szCs w:val="28"/>
          <w:vertAlign w:val="superscript"/>
          <w:lang w:eastAsia="zh-TW"/>
        </w:rPr>
        <w:t>th</w:t>
      </w:r>
      <w:r w:rsidR="00177F2F" w:rsidRPr="00177F2F">
        <w:rPr>
          <w:rFonts w:cs="Arial"/>
          <w:bCs/>
          <w:sz w:val="24"/>
          <w:szCs w:val="28"/>
          <w:lang w:eastAsia="zh-TW"/>
        </w:rPr>
        <w:t>, 2023</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0E730093"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256B5C">
        <w:rPr>
          <w:rFonts w:cs="Arial"/>
          <w:bCs/>
          <w:sz w:val="24"/>
          <w:szCs w:val="24"/>
          <w:lang w:val="en-US" w:eastAsia="zh-TW"/>
        </w:rPr>
        <w:t xml:space="preserve"> </w:t>
      </w:r>
      <w:r w:rsidR="0081624A">
        <w:rPr>
          <w:rFonts w:cs="Arial"/>
          <w:bCs/>
          <w:sz w:val="24"/>
          <w:szCs w:val="24"/>
          <w:lang w:val="en-US" w:eastAsia="zh-TW"/>
        </w:rPr>
        <w:t>9.3.1</w:t>
      </w:r>
    </w:p>
    <w:p w14:paraId="34526BD2" w14:textId="074BE220"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3E9197A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4538E8" w:rsidRPr="004538E8">
        <w:rPr>
          <w:rFonts w:cs="Arial"/>
          <w:bCs/>
          <w:sz w:val="24"/>
          <w:szCs w:val="24"/>
          <w:lang w:val="en-US" w:eastAsia="zh-TW"/>
        </w:rPr>
        <w:t>Discussion on evaluation of NR duplex evolution</w:t>
      </w:r>
      <w:r w:rsidR="00B315EB">
        <w:rPr>
          <w:rFonts w:cs="Arial"/>
          <w:bCs/>
          <w:sz w:val="24"/>
          <w:szCs w:val="24"/>
          <w:lang w:val="en-US" w:eastAsia="zh-TW"/>
        </w:rPr>
        <w:t xml:space="preserve"> </w:t>
      </w:r>
    </w:p>
    <w:p w14:paraId="4ED64A23" w14:textId="283E2BBB"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1"/>
    <w:bookmarkEnd w:id="2"/>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7FBAD4EE"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DD5E49">
        <w:rPr>
          <w:rFonts w:eastAsia="SimSun"/>
          <w:lang w:val="en-US" w:eastAsia="zh-CN"/>
        </w:rPr>
        <w:t>s</w:t>
      </w:r>
      <w:r w:rsidR="00DD5E49" w:rsidRPr="00DD5E49">
        <w:rPr>
          <w:rFonts w:eastAsia="SimSun"/>
          <w:lang w:val="en-US" w:eastAsia="zh-CN"/>
        </w:rPr>
        <w:t>tudy</w:t>
      </w:r>
      <w:r w:rsidR="00DD5E49">
        <w:rPr>
          <w:rFonts w:eastAsia="SimSun"/>
          <w:lang w:val="en-US" w:eastAsia="zh-CN"/>
        </w:rPr>
        <w:t xml:space="preserve"> item </w:t>
      </w:r>
      <w:r w:rsidR="00DD5E49" w:rsidRPr="00DD5E49">
        <w:rPr>
          <w:rFonts w:eastAsia="SimSun"/>
          <w:lang w:val="en-US" w:eastAsia="zh-CN"/>
        </w:rPr>
        <w:t xml:space="preserve">on evolution of NR duplex operation </w:t>
      </w:r>
      <w:r w:rsidR="00DD5E49">
        <w:rPr>
          <w:rFonts w:eastAsia="SimSun"/>
          <w:lang w:val="en-US" w:eastAsia="zh-CN"/>
        </w:rPr>
        <w:t xml:space="preserve">was </w:t>
      </w:r>
      <w:r>
        <w:rPr>
          <w:rFonts w:eastAsia="SimSun"/>
          <w:lang w:val="en-US" w:eastAsia="zh-CN"/>
        </w:rPr>
        <w:t xml:space="preserve">approved in </w:t>
      </w:r>
      <w:r w:rsidRPr="00F351D4">
        <w:rPr>
          <w:rFonts w:eastAsia="SimSun"/>
          <w:lang w:val="en-US" w:eastAsia="zh-CN"/>
        </w:rPr>
        <w:t>RAN#</w:t>
      </w:r>
      <w:r w:rsidR="00DD5E49">
        <w:rPr>
          <w:rFonts w:eastAsia="SimSun"/>
          <w:color w:val="000000" w:themeColor="text1"/>
          <w:lang w:val="en-US" w:eastAsia="zh-CN"/>
        </w:rPr>
        <w:t>94</w:t>
      </w:r>
      <w:r w:rsidR="004C65C9" w:rsidRPr="004C65C9">
        <w:rPr>
          <w:rFonts w:eastAsia="SimSun"/>
          <w:color w:val="000000" w:themeColor="text1"/>
          <w:lang w:val="en-US" w:eastAsia="zh-CN"/>
        </w:rPr>
        <w:t>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6411F6">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7E613351"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Identify applicable and relevant deployment scenarios (RAN1).</w:t>
            </w:r>
          </w:p>
          <w:p w14:paraId="71FA9D5D"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Develop evaluation methodology for duplex enhancement (RAN1).</w:t>
            </w:r>
          </w:p>
          <w:p w14:paraId="3673EB34"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Study the subband non-overlapping full duplex and potential enhancements on dynamic/flexible TDD (RAN1, RAN4).</w:t>
            </w:r>
          </w:p>
          <w:p w14:paraId="1812EB75"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Identify possible schemes and evaluate their feasibility and performances (RAN1).</w:t>
            </w:r>
          </w:p>
          <w:p w14:paraId="28DF9882"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 xml:space="preserve">Study inter-gNB and inter-UE CLI handling and identify solutions to manage them (RAN1). </w:t>
            </w:r>
          </w:p>
          <w:p w14:paraId="24EA8520" w14:textId="77777777" w:rsidR="00DD5E49" w:rsidRPr="00DD5E49" w:rsidRDefault="00DD5E49" w:rsidP="00493E7C">
            <w:pPr>
              <w:numPr>
                <w:ilvl w:val="2"/>
                <w:numId w:val="4"/>
              </w:numPr>
              <w:overflowPunct w:val="0"/>
              <w:autoSpaceDE w:val="0"/>
              <w:autoSpaceDN w:val="0"/>
              <w:spacing w:after="60"/>
              <w:rPr>
                <w:lang w:val="en-US"/>
              </w:rPr>
            </w:pPr>
            <w:r w:rsidRPr="00DD5E49">
              <w:rPr>
                <w:lang w:val="en-US"/>
              </w:rPr>
              <w:t>Consider intra-subband CLI and inter-subband CLI in case of the subband non-overlapping full duplex.</w:t>
            </w:r>
          </w:p>
          <w:p w14:paraId="5401E48E"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performance of the identified schemes as well as the impact on legacy operation assuming their co-existence in co-channel and adjacent channels (RAN1).</w:t>
            </w:r>
          </w:p>
          <w:p w14:paraId="67AA03CF"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feasibility of and impact on RF requirements considering adjacent-channel co-existence with the legacy operation (RAN4).</w:t>
            </w:r>
          </w:p>
          <w:p w14:paraId="00610F71"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feasibility of and impact on RF requirements considering the self-interference, the inter-subband CLI, and the inter-operator CLI at gNB and the inter-subband CLI and inter-operator CLI at UE (RAN4).</w:t>
            </w:r>
          </w:p>
          <w:p w14:paraId="269A2377"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5E49">
              <w:rPr>
                <w:lang w:val="en-US"/>
              </w:rPr>
              <w:t>filtering</w:t>
            </w:r>
            <w:proofErr w:type="gramEnd"/>
            <w:r w:rsidRPr="00DD5E49">
              <w:rPr>
                <w:lang w:val="en-US"/>
              </w:rPr>
              <w:t xml:space="preserve"> and digital interference suppression.</w:t>
            </w:r>
          </w:p>
          <w:p w14:paraId="6F4FE1B7" w14:textId="73C9EA19" w:rsidR="00B32D37" w:rsidRPr="00DD5E49" w:rsidRDefault="00DD5E49" w:rsidP="00493E7C">
            <w:pPr>
              <w:numPr>
                <w:ilvl w:val="1"/>
                <w:numId w:val="4"/>
              </w:numPr>
              <w:overflowPunct w:val="0"/>
              <w:autoSpaceDE w:val="0"/>
              <w:autoSpaceDN w:val="0"/>
              <w:spacing w:after="60"/>
              <w:rPr>
                <w:lang w:val="en-US"/>
              </w:rPr>
            </w:pPr>
            <w:r w:rsidRPr="00DD5E49">
              <w:rPr>
                <w:lang w:val="en-US"/>
              </w:rPr>
              <w:t xml:space="preserve">Summarize the regulatory aspects that </w:t>
            </w:r>
            <w:proofErr w:type="gramStart"/>
            <w:r w:rsidRPr="00DD5E49">
              <w:rPr>
                <w:lang w:val="en-US"/>
              </w:rPr>
              <w:t>have to</w:t>
            </w:r>
            <w:proofErr w:type="gramEnd"/>
            <w:r w:rsidRPr="00DD5E49">
              <w:rPr>
                <w:lang w:val="en-US"/>
              </w:rPr>
              <w:t xml:space="preserve"> be considered for deploying the identified duplex enhancements in TDD unpaired spectrum (RAN4).</w:t>
            </w:r>
          </w:p>
        </w:tc>
      </w:tr>
    </w:tbl>
    <w:p w14:paraId="326EA177" w14:textId="3BACF32E"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D9146A">
        <w:rPr>
          <w:rStyle w:val="ui-provider"/>
        </w:rPr>
        <w:t xml:space="preserve">we examine the </w:t>
      </w:r>
      <w:r w:rsidR="002248E0">
        <w:rPr>
          <w:rStyle w:val="ui-provider"/>
        </w:rPr>
        <w:t>Subband Full</w:t>
      </w:r>
      <w:r w:rsidR="00D9146A">
        <w:rPr>
          <w:rStyle w:val="ui-provider"/>
        </w:rPr>
        <w:t xml:space="preserve"> Duplexing (S</w:t>
      </w:r>
      <w:r w:rsidR="00E87373">
        <w:rPr>
          <w:rStyle w:val="ui-provider"/>
        </w:rPr>
        <w:t>BFD</w:t>
      </w:r>
      <w:r w:rsidR="00D9146A">
        <w:rPr>
          <w:rStyle w:val="ui-provider"/>
        </w:rPr>
        <w:t>) evaluation results in comparison to the legacy Time Division Duplexing (TDD) and make some important observations from these evaluations</w:t>
      </w:r>
      <w:r w:rsidR="00977F0B">
        <w:rPr>
          <w:rFonts w:eastAsia="SimSun"/>
          <w:color w:val="000000" w:themeColor="text1"/>
          <w:lang w:val="en-US" w:eastAsia="zh-CN"/>
        </w:rPr>
        <w:t>.</w:t>
      </w:r>
    </w:p>
    <w:p w14:paraId="3BDA61AD" w14:textId="0AD0563A" w:rsidR="0014368D" w:rsidRDefault="00573F8E" w:rsidP="0014368D">
      <w:pPr>
        <w:pStyle w:val="Heading1"/>
      </w:pPr>
      <w:r>
        <w:t xml:space="preserve">SBFD </w:t>
      </w:r>
      <w:r w:rsidR="00722EF7">
        <w:t>E</w:t>
      </w:r>
      <w:r w:rsidR="00497A62">
        <w:t xml:space="preserve">valuation </w:t>
      </w:r>
      <w:r w:rsidR="00AE2D88">
        <w:t>Results</w:t>
      </w:r>
    </w:p>
    <w:p w14:paraId="160AA727" w14:textId="14C91B0E" w:rsidR="0072167D" w:rsidRDefault="0072167D" w:rsidP="0072167D">
      <w:pPr>
        <w:jc w:val="both"/>
      </w:pPr>
      <w:r>
        <w:rPr>
          <w:rStyle w:val="ui-provider"/>
        </w:rPr>
        <w:t xml:space="preserve">In this section we present SLS results for SBFD Deployment Case 1. First, </w:t>
      </w:r>
      <w:r w:rsidR="00A0199F">
        <w:rPr>
          <w:rStyle w:val="ui-provider"/>
        </w:rPr>
        <w:t xml:space="preserve">an analysis of the performance of SBFD compared to TDD is conducted. Next, we analyse the negative impact of inter-UE CLI on DL performance and show that efficient CLI handling mechanism, such as CLI-aware scheduling, can be used to mitigate inter-UE CLI. We also show the impact of inter-gNB CLI and SI on UL performance.  </w:t>
      </w:r>
      <w:r>
        <w:rPr>
          <w:rStyle w:val="ui-provider"/>
        </w:rPr>
        <w:t xml:space="preserve">The FR1 UMa scenario is used for this </w:t>
      </w:r>
      <w:r w:rsidR="00A0199F">
        <w:rPr>
          <w:rStyle w:val="ui-provider"/>
        </w:rPr>
        <w:t>analysis</w:t>
      </w:r>
      <w:r>
        <w:rPr>
          <w:rStyle w:val="ui-provider"/>
        </w:rPr>
        <w:t>. Full buffer and FTP3 traffic are taken into consideration to make key observations</w:t>
      </w:r>
      <w:r>
        <w:t xml:space="preserve">. </w:t>
      </w:r>
    </w:p>
    <w:p w14:paraId="0375F764" w14:textId="77777777" w:rsidR="00E94D1C" w:rsidRDefault="00E94D1C" w:rsidP="00E94D1C">
      <w:pPr>
        <w:pStyle w:val="Heading2"/>
      </w:pPr>
      <w:r>
        <w:t>Full Buffer Traffic</w:t>
      </w:r>
    </w:p>
    <w:p w14:paraId="35ACFDAE" w14:textId="77777777" w:rsidR="00E94D1C" w:rsidRDefault="00E94D1C" w:rsidP="00E94D1C">
      <w:pPr>
        <w:pStyle w:val="Heading3"/>
        <w:rPr>
          <w:rStyle w:val="ui-provider"/>
        </w:rPr>
      </w:pPr>
      <w:r>
        <w:rPr>
          <w:rStyle w:val="ui-provider"/>
        </w:rPr>
        <w:t>SLS validation with TDD and SBFD</w:t>
      </w:r>
    </w:p>
    <w:p w14:paraId="385CB7F5" w14:textId="77777777" w:rsidR="00E94D1C" w:rsidRDefault="00E94D1C" w:rsidP="00E94D1C">
      <w:pPr>
        <w:spacing w:after="120"/>
        <w:jc w:val="both"/>
        <w:rPr>
          <w:rStyle w:val="ui-provider"/>
        </w:rPr>
      </w:pPr>
      <w:r>
        <w:rPr>
          <w:rStyle w:val="ui-provider"/>
        </w:rPr>
        <w:t>Some subbands of TDD DL slots are allocated as UL resources to enable SBFD. This forms the SBFD format as ‘</w:t>
      </w:r>
      <w:r w:rsidRPr="007D13EC">
        <w:rPr>
          <w:rStyle w:val="ui-provider"/>
        </w:rPr>
        <w:t>XXXXU</w:t>
      </w:r>
      <w:r>
        <w:rPr>
          <w:rStyle w:val="ui-provider"/>
        </w:rPr>
        <w:t xml:space="preserve">’, where 20% of the RBs are allocated to UL, with the subband configuration &lt; ND, NU, NG &gt; = &lt;104, 54, 5&gt;. Thus, some DL resources are sacrificed to provide UL resources, leading to a theoretical calculation of resource gain for UL and resource loss for DL. This can be compared with the expected gain/loss of spectral efficiency of SBFD compared to TDD. This evaluation can be considered as a good validation method for the system level simulator (SLS). </w:t>
      </w:r>
    </w:p>
    <w:p w14:paraId="4C08AA31" w14:textId="7E302E31" w:rsidR="00E94D1C" w:rsidRDefault="00E94D1C" w:rsidP="00E94D1C">
      <w:pPr>
        <w:jc w:val="both"/>
        <w:rPr>
          <w:rStyle w:val="ui-provider"/>
        </w:rPr>
      </w:pPr>
      <w:r>
        <w:rPr>
          <w:rStyle w:val="ui-provider"/>
        </w:rPr>
        <w:lastRenderedPageBreak/>
        <w:t xml:space="preserve">From </w:t>
      </w:r>
      <w:r>
        <w:rPr>
          <w:rStyle w:val="ui-provider"/>
        </w:rPr>
        <w:fldChar w:fldCharType="begin"/>
      </w:r>
      <w:r>
        <w:rPr>
          <w:rStyle w:val="ui-provider"/>
        </w:rPr>
        <w:instrText xml:space="preserve"> REF _Ref134781701 \h  \* MERGEFORMAT </w:instrText>
      </w:r>
      <w:r>
        <w:rPr>
          <w:rStyle w:val="ui-provider"/>
        </w:rPr>
      </w:r>
      <w:r>
        <w:rPr>
          <w:rStyle w:val="ui-provider"/>
        </w:rPr>
        <w:fldChar w:fldCharType="separate"/>
      </w:r>
      <w:r w:rsidR="006411F6" w:rsidRPr="006411F6">
        <w:t xml:space="preserve">Table </w:t>
      </w:r>
      <w:r w:rsidR="006411F6" w:rsidRPr="006411F6">
        <w:rPr>
          <w:noProof/>
        </w:rPr>
        <w:t>1</w:t>
      </w:r>
      <w:r>
        <w:rPr>
          <w:rStyle w:val="ui-provider"/>
        </w:rPr>
        <w:fldChar w:fldCharType="end"/>
      </w:r>
      <w:r>
        <w:rPr>
          <w:rStyle w:val="ui-provider"/>
        </w:rPr>
        <w:t>, the DL and UL resource gain of SBFD (XXXXU) compared to TDD (DDDSU) are examined in relation to their corresponding spectral efficiency gain. As expected, a clear correlation is seen between resource gain and spectral efficiency.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E94D1C" w14:paraId="4E964136" w14:textId="77777777" w:rsidTr="002E4EE9">
        <w:tc>
          <w:tcPr>
            <w:tcW w:w="9631" w:type="dxa"/>
            <w:vAlign w:val="center"/>
          </w:tcPr>
          <w:p w14:paraId="7EECEE93" w14:textId="4197B923" w:rsidR="00E94D1C" w:rsidRPr="003A1B8E" w:rsidRDefault="00E94D1C" w:rsidP="002E4EE9">
            <w:pPr>
              <w:pStyle w:val="Caption"/>
              <w:keepNext/>
              <w:spacing w:before="0" w:after="0"/>
              <w:jc w:val="center"/>
              <w:rPr>
                <w:b w:val="0"/>
                <w:bCs/>
              </w:rPr>
            </w:pPr>
            <w:bookmarkStart w:id="3" w:name="_Ref134781701"/>
            <w:r w:rsidRPr="003A1B8E">
              <w:rPr>
                <w:b w:val="0"/>
                <w:bCs/>
              </w:rPr>
              <w:t xml:space="preserve">Table </w:t>
            </w:r>
            <w:r w:rsidRPr="003A1B8E">
              <w:rPr>
                <w:b w:val="0"/>
                <w:bCs/>
              </w:rPr>
              <w:fldChar w:fldCharType="begin"/>
            </w:r>
            <w:r w:rsidRPr="003A1B8E">
              <w:rPr>
                <w:b w:val="0"/>
                <w:bCs/>
              </w:rPr>
              <w:instrText xml:space="preserve"> SEQ Table \* ARABIC </w:instrText>
            </w:r>
            <w:r w:rsidRPr="003A1B8E">
              <w:rPr>
                <w:b w:val="0"/>
                <w:bCs/>
              </w:rPr>
              <w:fldChar w:fldCharType="separate"/>
            </w:r>
            <w:r w:rsidR="006411F6">
              <w:rPr>
                <w:b w:val="0"/>
                <w:bCs/>
                <w:noProof/>
              </w:rPr>
              <w:t>1</w:t>
            </w:r>
            <w:r w:rsidRPr="003A1B8E">
              <w:rPr>
                <w:b w:val="0"/>
                <w:bCs/>
              </w:rPr>
              <w:fldChar w:fldCharType="end"/>
            </w:r>
            <w:bookmarkEnd w:id="3"/>
            <w:r w:rsidRPr="003A1B8E">
              <w:rPr>
                <w:b w:val="0"/>
                <w:bCs/>
              </w:rPr>
              <w:t>: Comparison of resource gain and spectral efficiency gain</w:t>
            </w:r>
          </w:p>
          <w:p w14:paraId="6289768F" w14:textId="77777777" w:rsidR="00E94D1C" w:rsidRDefault="00E94D1C" w:rsidP="002E4EE9">
            <w:pPr>
              <w:spacing w:after="0"/>
              <w:jc w:val="center"/>
              <w:rPr>
                <w:rStyle w:val="ui-provider"/>
              </w:rPr>
            </w:pPr>
            <w:r>
              <w:rPr>
                <w:rStyle w:val="ui-provider"/>
                <w:noProof/>
              </w:rPr>
              <w:drawing>
                <wp:inline distT="0" distB="0" distL="0" distR="0" wp14:anchorId="2FFFBE76" wp14:editId="013A72D6">
                  <wp:extent cx="6026853" cy="85420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4121" cy="904839"/>
                          </a:xfrm>
                          <a:prstGeom prst="rect">
                            <a:avLst/>
                          </a:prstGeom>
                          <a:noFill/>
                        </pic:spPr>
                      </pic:pic>
                    </a:graphicData>
                  </a:graphic>
                </wp:inline>
              </w:drawing>
            </w:r>
          </w:p>
        </w:tc>
      </w:tr>
    </w:tbl>
    <w:p w14:paraId="17ED1FE2" w14:textId="0A110EF9" w:rsidR="00E94D1C" w:rsidRDefault="00E94D1C" w:rsidP="00E94D1C">
      <w:pPr>
        <w:spacing w:after="0"/>
        <w:jc w:val="both"/>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1</w:t>
      </w:r>
      <w:r w:rsidRPr="00EF4B7B">
        <w:rPr>
          <w:b/>
          <w:bCs/>
          <w:i/>
          <w:iCs/>
        </w:rPr>
        <w:fldChar w:fldCharType="end"/>
      </w:r>
      <w:r w:rsidRPr="00EF4B7B">
        <w:t xml:space="preserve">: </w:t>
      </w:r>
      <w:bookmarkStart w:id="4" w:name="_Ref134784009"/>
      <w:r w:rsidRPr="002D370C">
        <w:rPr>
          <w:rFonts w:eastAsia="SimSun"/>
          <w:b/>
          <w:bCs/>
          <w:i/>
          <w:iCs/>
          <w:lang w:val="en-US"/>
        </w:rPr>
        <w:t>The resource gain/loss in UL and DL, as well as the spectral efficiency gain/loss in UL and DL</w:t>
      </w:r>
      <w:r>
        <w:rPr>
          <w:rFonts w:eastAsia="SimSun"/>
          <w:b/>
          <w:bCs/>
          <w:i/>
          <w:iCs/>
          <w:lang w:val="en-US"/>
        </w:rPr>
        <w:t xml:space="preserve"> </w:t>
      </w:r>
      <w:r w:rsidRPr="002D370C">
        <w:rPr>
          <w:rFonts w:eastAsia="SimSun"/>
          <w:b/>
          <w:bCs/>
          <w:i/>
          <w:iCs/>
          <w:lang w:val="en-US"/>
        </w:rPr>
        <w:t>for SBFD over the legacy TDD, are closely aligned</w:t>
      </w:r>
      <w:bookmarkEnd w:id="4"/>
    </w:p>
    <w:p w14:paraId="2DA5FBD0" w14:textId="58D538DE" w:rsidR="00DD5069" w:rsidRPr="00375C10" w:rsidRDefault="00DD5069" w:rsidP="00E94D1C">
      <w:pPr>
        <w:pStyle w:val="Heading3"/>
      </w:pPr>
      <w:r w:rsidRPr="00375C10">
        <w:t xml:space="preserve">Impact of Inter-UE CLI </w:t>
      </w:r>
    </w:p>
    <w:p w14:paraId="2376C292" w14:textId="1B58AE1A" w:rsidR="0034588F" w:rsidRDefault="0034588F" w:rsidP="0034588F">
      <w:pPr>
        <w:jc w:val="both"/>
        <w:rPr>
          <w:rStyle w:val="ui-provider"/>
        </w:rPr>
      </w:pPr>
      <w:r>
        <w:rPr>
          <w:rStyle w:val="ui-provider"/>
        </w:rPr>
        <w:t xml:space="preserve">In legacy TDD, UL and DL transmissions take place in distinct time slots, meaning there is no risk of interference between UL and DL signals from neighbouring UEs. However, with SBFD, UL and DL transmissions occur during the same time slot at the gNB, leading to </w:t>
      </w:r>
      <w:r w:rsidR="00097F82">
        <w:rPr>
          <w:rStyle w:val="ui-provider"/>
        </w:rPr>
        <w:t>i</w:t>
      </w:r>
      <w:r>
        <w:rPr>
          <w:rStyle w:val="ui-provider"/>
        </w:rPr>
        <w:t>nter-UE CLI, as the UL transmission of one UE negatively affects the reception of DL signal at another nearby UE.</w:t>
      </w:r>
    </w:p>
    <w:p w14:paraId="43F9DFE6" w14:textId="1FB7E4DB" w:rsidR="00397BEB" w:rsidRDefault="00A52243" w:rsidP="00A52243">
      <w:pPr>
        <w:jc w:val="both"/>
        <w:rPr>
          <w:rStyle w:val="ui-provider"/>
        </w:rPr>
      </w:pPr>
      <w:r>
        <w:rPr>
          <w:rStyle w:val="ui-provider"/>
        </w:rPr>
        <w:t>The impact of inter-UE CLI is not captured correctly in simulations where UEs are uniformly and randomly distributed as the separation distance between UEs is too big to account for it. Moreover, t</w:t>
      </w:r>
      <w:r w:rsidR="0034588F">
        <w:rPr>
          <w:rStyle w:val="ui-provider"/>
        </w:rPr>
        <w:t>his uniform random distribution</w:t>
      </w:r>
      <w:r>
        <w:rPr>
          <w:rStyle w:val="ui-provider"/>
        </w:rPr>
        <w:t xml:space="preserve"> of UEs</w:t>
      </w:r>
      <w:r w:rsidR="0034588F">
        <w:rPr>
          <w:rStyle w:val="ui-provider"/>
        </w:rPr>
        <w:t xml:space="preserve"> </w:t>
      </w:r>
      <w:r w:rsidR="00DB50F6">
        <w:rPr>
          <w:rStyle w:val="ui-provider"/>
        </w:rPr>
        <w:t>is not</w:t>
      </w:r>
      <w:r w:rsidR="0034588F">
        <w:rPr>
          <w:rStyle w:val="ui-provider"/>
        </w:rPr>
        <w:t xml:space="preserve"> represent</w:t>
      </w:r>
      <w:r w:rsidR="00DB50F6">
        <w:rPr>
          <w:rStyle w:val="ui-provider"/>
        </w:rPr>
        <w:t xml:space="preserve">ative of </w:t>
      </w:r>
      <w:r w:rsidR="0034588F">
        <w:rPr>
          <w:rStyle w:val="ui-provider"/>
        </w:rPr>
        <w:t>real-</w:t>
      </w:r>
      <w:r w:rsidR="00DB50F6">
        <w:rPr>
          <w:rStyle w:val="ui-provider"/>
        </w:rPr>
        <w:t>life</w:t>
      </w:r>
      <w:r w:rsidR="0034588F">
        <w:rPr>
          <w:rStyle w:val="ui-provider"/>
        </w:rPr>
        <w:t xml:space="preserve"> scenario</w:t>
      </w:r>
      <w:r w:rsidR="00DB50F6">
        <w:rPr>
          <w:rStyle w:val="ui-provider"/>
        </w:rPr>
        <w:t>s</w:t>
      </w:r>
      <w:r w:rsidR="0034588F">
        <w:rPr>
          <w:rStyle w:val="ui-provider"/>
        </w:rPr>
        <w:t>, where users with multiple mobile devices typically group together, with much smaller separation distances. Thereby,</w:t>
      </w:r>
      <w:r w:rsidR="00DB50F6">
        <w:rPr>
          <w:rStyle w:val="ui-provider"/>
        </w:rPr>
        <w:t xml:space="preserve"> uniform UE distribution should not be used as indication of inter-UE CLI impact</w:t>
      </w:r>
      <w:r w:rsidR="0034588F">
        <w:rPr>
          <w:rStyle w:val="ui-provider"/>
        </w:rPr>
        <w:t xml:space="preserve">. </w:t>
      </w:r>
      <w:r w:rsidR="00397BEB">
        <w:rPr>
          <w:rStyle w:val="ui-provider"/>
        </w:rPr>
        <w:t xml:space="preserve">This is illustrated in </w:t>
      </w:r>
      <w:r w:rsidR="007F0380">
        <w:rPr>
          <w:rStyle w:val="ui-provider"/>
        </w:rPr>
        <w:fldChar w:fldCharType="begin"/>
      </w:r>
      <w:r w:rsidR="007F0380">
        <w:rPr>
          <w:rStyle w:val="ui-provider"/>
        </w:rPr>
        <w:instrText xml:space="preserve"> REF _Ref142319541 \h </w:instrText>
      </w:r>
      <w:r w:rsidR="00E93C63">
        <w:rPr>
          <w:rStyle w:val="ui-provider"/>
        </w:rPr>
        <w:instrText xml:space="preserve"> \* MERGEFORMAT </w:instrText>
      </w:r>
      <w:r w:rsidR="007F0380">
        <w:rPr>
          <w:rStyle w:val="ui-provider"/>
        </w:rPr>
      </w:r>
      <w:r w:rsidR="007F0380">
        <w:rPr>
          <w:rStyle w:val="ui-provider"/>
        </w:rPr>
        <w:fldChar w:fldCharType="separate"/>
      </w:r>
      <w:r w:rsidR="006411F6" w:rsidRPr="006F5AEB">
        <w:rPr>
          <w:bCs/>
        </w:rPr>
        <w:t xml:space="preserve">Figure </w:t>
      </w:r>
      <w:r w:rsidR="006411F6" w:rsidRPr="006411F6">
        <w:rPr>
          <w:noProof/>
        </w:rPr>
        <w:t>1</w:t>
      </w:r>
      <w:r w:rsidR="007F0380">
        <w:rPr>
          <w:rStyle w:val="ui-provider"/>
        </w:rPr>
        <w:fldChar w:fldCharType="end"/>
      </w:r>
      <w:r w:rsidR="00397BEB">
        <w:rPr>
          <w:rStyle w:val="ui-provider"/>
        </w:rPr>
        <w:t xml:space="preserve">, which shows </w:t>
      </w:r>
      <w:r w:rsidR="007F0380">
        <w:rPr>
          <w:rStyle w:val="ui-provider"/>
        </w:rPr>
        <w:t xml:space="preserve">the ratio of CCI to </w:t>
      </w:r>
      <w:r w:rsidR="00397BEB">
        <w:rPr>
          <w:rStyle w:val="ui-provider"/>
        </w:rPr>
        <w:t>i</w:t>
      </w:r>
      <w:r w:rsidR="007F0380">
        <w:rPr>
          <w:rStyle w:val="ui-provider"/>
        </w:rPr>
        <w:t xml:space="preserve">nter-UE CLI for clustered (with radius of 25m and 10m) and uniformly distributed deployments. The results demonstrate that </w:t>
      </w:r>
      <w:r w:rsidR="00397BEB">
        <w:rPr>
          <w:rStyle w:val="ui-provider"/>
        </w:rPr>
        <w:t>inter-UE CLI impact is significant</w:t>
      </w:r>
      <w:r w:rsidR="00F951EB">
        <w:rPr>
          <w:rStyle w:val="ui-provider"/>
        </w:rPr>
        <w:t xml:space="preserve"> when UEs are within a close proximity, which is typical in real-world deployments</w:t>
      </w:r>
      <w:r w:rsidR="00C57FEC">
        <w:rPr>
          <w:rStyle w:val="ui-provider"/>
        </w:rPr>
        <w:t>,</w:t>
      </w:r>
      <w:r w:rsidR="00F951EB">
        <w:rPr>
          <w:rStyle w:val="ui-provider"/>
        </w:rPr>
        <w:t xml:space="preserve"> </w:t>
      </w:r>
      <w:r w:rsidR="00C57FEC">
        <w:rPr>
          <w:rStyle w:val="ui-provider"/>
        </w:rPr>
        <w:t xml:space="preserve">in places like meeting rooms, restaurants, and public transport. </w:t>
      </w:r>
    </w:p>
    <w:p w14:paraId="1FE01885" w14:textId="1F78FBC3" w:rsidR="00A319A5" w:rsidRDefault="00E94D1C" w:rsidP="001829A5">
      <w:pPr>
        <w:spacing w:after="120"/>
        <w:jc w:val="center"/>
        <w:rPr>
          <w:noProof/>
        </w:rPr>
      </w:pPr>
      <w:r>
        <w:rPr>
          <w:noProof/>
        </w:rPr>
        <w:drawing>
          <wp:inline distT="0" distB="0" distL="0" distR="0" wp14:anchorId="4AA7927A" wp14:editId="21EFA55D">
            <wp:extent cx="2965450" cy="2359734"/>
            <wp:effectExtent l="0" t="0" r="635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4021" t="3138" r="4984"/>
                    <a:stretch/>
                  </pic:blipFill>
                  <pic:spPr bwMode="auto">
                    <a:xfrm>
                      <a:off x="0" y="0"/>
                      <a:ext cx="3148217" cy="2505170"/>
                    </a:xfrm>
                    <a:prstGeom prst="rect">
                      <a:avLst/>
                    </a:prstGeom>
                    <a:ln>
                      <a:noFill/>
                    </a:ln>
                    <a:extLst>
                      <a:ext uri="{53640926-AAD7-44D8-BBD7-CCE9431645EC}">
                        <a14:shadowObscured xmlns:a14="http://schemas.microsoft.com/office/drawing/2010/main"/>
                      </a:ext>
                    </a:extLst>
                  </pic:spPr>
                </pic:pic>
              </a:graphicData>
            </a:graphic>
          </wp:inline>
        </w:drawing>
      </w:r>
    </w:p>
    <w:p w14:paraId="0527CAA5" w14:textId="487155C2" w:rsidR="0034588F" w:rsidRPr="005332D7" w:rsidRDefault="0034588F" w:rsidP="0034588F">
      <w:pPr>
        <w:pStyle w:val="Caption"/>
        <w:jc w:val="center"/>
        <w:rPr>
          <w:b w:val="0"/>
        </w:rPr>
      </w:pPr>
      <w:bookmarkStart w:id="5" w:name="_Ref142319541"/>
      <w:r w:rsidRPr="006F5AEB">
        <w:rPr>
          <w:b w:val="0"/>
          <w:bCs/>
        </w:rPr>
        <w:t xml:space="preserve">Figure </w:t>
      </w:r>
      <w:r w:rsidRPr="006F5AEB">
        <w:rPr>
          <w:b w:val="0"/>
          <w:bCs/>
        </w:rPr>
        <w:fldChar w:fldCharType="begin"/>
      </w:r>
      <w:r w:rsidRPr="006F5AEB">
        <w:rPr>
          <w:b w:val="0"/>
          <w:bCs/>
        </w:rPr>
        <w:instrText xml:space="preserve"> SEQ Figure \* ARABIC </w:instrText>
      </w:r>
      <w:r w:rsidRPr="006F5AEB">
        <w:rPr>
          <w:b w:val="0"/>
          <w:bCs/>
        </w:rPr>
        <w:fldChar w:fldCharType="separate"/>
      </w:r>
      <w:r w:rsidR="006411F6">
        <w:rPr>
          <w:b w:val="0"/>
          <w:bCs/>
          <w:noProof/>
        </w:rPr>
        <w:t>1</w:t>
      </w:r>
      <w:r w:rsidRPr="006F5AEB">
        <w:rPr>
          <w:b w:val="0"/>
          <w:bCs/>
        </w:rPr>
        <w:fldChar w:fldCharType="end"/>
      </w:r>
      <w:bookmarkEnd w:id="5"/>
      <w:r>
        <w:t xml:space="preserve">: </w:t>
      </w:r>
      <w:r w:rsidRPr="006F5AEB">
        <w:rPr>
          <w:b w:val="0"/>
          <w:bCs/>
        </w:rPr>
        <w:t>CCI over CLI ratio CDFs for UEs’ deployment with and without clustering</w:t>
      </w:r>
      <w:r w:rsidR="009449EA">
        <w:rPr>
          <w:b w:val="0"/>
          <w:bCs/>
        </w:rPr>
        <w:t xml:space="preserve"> </w:t>
      </w:r>
    </w:p>
    <w:p w14:paraId="0E9D17F4" w14:textId="5E6BFECF" w:rsidR="00430AEC" w:rsidRPr="007426CB" w:rsidRDefault="007426CB" w:rsidP="007426CB">
      <w:pPr>
        <w:spacing w:after="120"/>
        <w:jc w:val="both"/>
      </w:pPr>
      <w:r>
        <w:rPr>
          <w:bCs/>
          <w:iCs/>
          <w:lang w:eastAsia="ko-KR"/>
        </w:rPr>
        <w:fldChar w:fldCharType="begin"/>
      </w:r>
      <w:r>
        <w:rPr>
          <w:bCs/>
          <w:iCs/>
          <w:lang w:eastAsia="ko-KR"/>
        </w:rPr>
        <w:instrText xml:space="preserve"> REF _Ref142402629 \h  \* MERGEFORMAT </w:instrText>
      </w:r>
      <w:r>
        <w:rPr>
          <w:bCs/>
          <w:iCs/>
          <w:lang w:eastAsia="ko-KR"/>
        </w:rPr>
      </w:r>
      <w:r>
        <w:rPr>
          <w:bCs/>
          <w:iCs/>
          <w:lang w:eastAsia="ko-KR"/>
        </w:rPr>
        <w:fldChar w:fldCharType="separate"/>
      </w:r>
      <w:r w:rsidR="006411F6" w:rsidRPr="00B24062">
        <w:rPr>
          <w:bCs/>
        </w:rPr>
        <w:t xml:space="preserve">Figure </w:t>
      </w:r>
      <w:r w:rsidR="006411F6" w:rsidRPr="006411F6">
        <w:rPr>
          <w:noProof/>
        </w:rPr>
        <w:t>2</w:t>
      </w:r>
      <w:r>
        <w:rPr>
          <w:bCs/>
          <w:iCs/>
          <w:lang w:eastAsia="ko-KR"/>
        </w:rPr>
        <w:fldChar w:fldCharType="end"/>
      </w:r>
      <w:r>
        <w:rPr>
          <w:bCs/>
          <w:iCs/>
          <w:lang w:eastAsia="ko-KR"/>
        </w:rPr>
        <w:t xml:space="preserve"> shows </w:t>
      </w:r>
      <w:r>
        <w:rPr>
          <w:rStyle w:val="ui-provider"/>
        </w:rPr>
        <w:t>the impact of inter-UE CLI on DL spectral efficiency (SE)</w:t>
      </w:r>
      <w:r w:rsidR="006F0243">
        <w:rPr>
          <w:rStyle w:val="ui-provider"/>
        </w:rPr>
        <w:t xml:space="preserve">. </w:t>
      </w:r>
      <w:r>
        <w:rPr>
          <w:rStyle w:val="ui-provider"/>
        </w:rPr>
        <w:t>As illustrated the</w:t>
      </w:r>
      <w:r w:rsidR="006F0243">
        <w:rPr>
          <w:rStyle w:val="ui-provider"/>
        </w:rPr>
        <w:t xml:space="preserve"> figure</w:t>
      </w:r>
      <w:r>
        <w:rPr>
          <w:rStyle w:val="ui-provider"/>
        </w:rPr>
        <w:t>, DL SE can be reduced significantly in the presence of</w:t>
      </w:r>
      <w:r w:rsidR="006F0243">
        <w:rPr>
          <w:rStyle w:val="ui-provider"/>
        </w:rPr>
        <w:t xml:space="preserve"> inter-UE CLI.</w:t>
      </w:r>
      <w:r w:rsidR="00256450">
        <w:rPr>
          <w:rStyle w:val="ui-provider"/>
        </w:rPr>
        <w:t xml:space="preserve"> Therefore, </w:t>
      </w:r>
      <w:r w:rsidR="00256450" w:rsidRPr="009E6709">
        <w:rPr>
          <w:bCs/>
          <w:iCs/>
          <w:lang w:eastAsia="ko-KR"/>
        </w:rPr>
        <w:t xml:space="preserve">efficient CLI handling mechanisms </w:t>
      </w:r>
      <w:r w:rsidR="00200D7A">
        <w:rPr>
          <w:bCs/>
          <w:iCs/>
          <w:lang w:eastAsia="ko-KR"/>
        </w:rPr>
        <w:t>should</w:t>
      </w:r>
      <w:r w:rsidR="00256450" w:rsidRPr="009E6709">
        <w:rPr>
          <w:bCs/>
          <w:iCs/>
          <w:lang w:eastAsia="ko-KR"/>
        </w:rPr>
        <w:t xml:space="preserve"> be employed to mitigate the negative impact of inter-UE CLI</w:t>
      </w:r>
      <w:r w:rsidR="00200D7A">
        <w:rPr>
          <w:bCs/>
          <w:iCs/>
          <w:lang w:eastAsia="ko-KR"/>
        </w:rPr>
        <w:t>.</w:t>
      </w:r>
      <w:r w:rsidR="006F0243">
        <w:rPr>
          <w:rStyle w:val="ui-provider"/>
        </w:rPr>
        <w:t xml:space="preserve"> </w:t>
      </w:r>
      <w:r w:rsidR="00200D7A">
        <w:rPr>
          <w:bCs/>
          <w:iCs/>
          <w:lang w:eastAsia="ko-KR"/>
        </w:rPr>
        <w:t>One such approach is CLI-aware scheduling, which schedules UE-pairs based on the expected level of inter-UE CLI. That is, UEs that cause sever</w:t>
      </w:r>
      <w:r w:rsidR="005653E0">
        <w:rPr>
          <w:bCs/>
          <w:iCs/>
          <w:lang w:eastAsia="ko-KR"/>
        </w:rPr>
        <w:t>e</w:t>
      </w:r>
      <w:r w:rsidR="00200D7A">
        <w:rPr>
          <w:bCs/>
          <w:iCs/>
          <w:lang w:eastAsia="ko-KR"/>
        </w:rPr>
        <w:t xml:space="preserve"> CLI towards each other are not scheduled together. As shown in </w:t>
      </w:r>
      <w:r w:rsidR="00200D7A">
        <w:rPr>
          <w:bCs/>
          <w:iCs/>
          <w:lang w:eastAsia="ko-KR"/>
        </w:rPr>
        <w:fldChar w:fldCharType="begin"/>
      </w:r>
      <w:r w:rsidR="00200D7A">
        <w:rPr>
          <w:bCs/>
          <w:iCs/>
          <w:lang w:eastAsia="ko-KR"/>
        </w:rPr>
        <w:instrText xml:space="preserve"> REF _Ref142402629 \h  \* MERGEFORMAT </w:instrText>
      </w:r>
      <w:r w:rsidR="00200D7A">
        <w:rPr>
          <w:bCs/>
          <w:iCs/>
          <w:lang w:eastAsia="ko-KR"/>
        </w:rPr>
      </w:r>
      <w:r w:rsidR="00200D7A">
        <w:rPr>
          <w:bCs/>
          <w:iCs/>
          <w:lang w:eastAsia="ko-KR"/>
        </w:rPr>
        <w:fldChar w:fldCharType="separate"/>
      </w:r>
      <w:r w:rsidR="006411F6" w:rsidRPr="00B24062">
        <w:rPr>
          <w:bCs/>
        </w:rPr>
        <w:t xml:space="preserve">Figure </w:t>
      </w:r>
      <w:r w:rsidR="006411F6" w:rsidRPr="006411F6">
        <w:rPr>
          <w:noProof/>
        </w:rPr>
        <w:t>2</w:t>
      </w:r>
      <w:r w:rsidR="00200D7A">
        <w:rPr>
          <w:bCs/>
          <w:iCs/>
          <w:lang w:eastAsia="ko-KR"/>
        </w:rPr>
        <w:fldChar w:fldCharType="end"/>
      </w:r>
      <w:r w:rsidR="00200D7A">
        <w:rPr>
          <w:bCs/>
          <w:iCs/>
          <w:lang w:eastAsia="ko-KR"/>
        </w:rPr>
        <w:t xml:space="preserve"> the negative impact of inter-UE CLI on DL SE </w:t>
      </w:r>
      <w:r w:rsidR="00200D7A" w:rsidRPr="0072488E">
        <w:rPr>
          <w:bCs/>
          <w:iCs/>
          <w:lang w:eastAsia="ko-KR"/>
        </w:rPr>
        <w:t>can</w:t>
      </w:r>
      <w:r w:rsidR="00200D7A">
        <w:rPr>
          <w:bCs/>
          <w:iCs/>
          <w:lang w:eastAsia="ko-KR"/>
        </w:rPr>
        <w:t xml:space="preserve"> be completely reversed through CLI-aware scheduling. Here, it is assumed that the gNB has perfect knowledge of inter-UE CLI and can form UE-pairs to completely avoid</w:t>
      </w:r>
      <w:r w:rsidR="0019109B">
        <w:rPr>
          <w:bCs/>
          <w:iCs/>
          <w:lang w:eastAsia="ko-KR"/>
        </w:rPr>
        <w:t xml:space="preserve"> its</w:t>
      </w:r>
      <w:r w:rsidR="00200D7A">
        <w:rPr>
          <w:bCs/>
          <w:iCs/>
          <w:lang w:eastAsia="ko-KR"/>
        </w:rPr>
        <w:t xml:space="preserve"> impact. However, in practice, the effectiveness of CLI handling schemes, including CLI-aware scheduling, relies on the accuracy of </w:t>
      </w:r>
      <w:r w:rsidR="00D75A96">
        <w:rPr>
          <w:bCs/>
          <w:iCs/>
          <w:lang w:eastAsia="ko-KR"/>
        </w:rPr>
        <w:t xml:space="preserve">the knowledge of </w:t>
      </w:r>
      <w:r w:rsidR="00200D7A">
        <w:rPr>
          <w:bCs/>
          <w:iCs/>
          <w:lang w:eastAsia="ko-KR"/>
        </w:rPr>
        <w:t xml:space="preserve">inter-UE CLI at the gNB. The gNB can only obtain this information through efficient inter-UE CLI measurement and reporting. </w:t>
      </w:r>
      <w:r w:rsidR="0019109B">
        <w:rPr>
          <w:bCs/>
          <w:iCs/>
          <w:lang w:eastAsia="ko-KR"/>
        </w:rPr>
        <w:t xml:space="preserve">Therefore, RAN1 should continue discussions on enhanced inter-UE CLI measurement and reporting schemes at the work item phase. </w:t>
      </w:r>
      <w:r w:rsidR="00200D7A">
        <w:rPr>
          <w:bCs/>
          <w:iCs/>
          <w:lang w:eastAsia="ko-KR"/>
        </w:rPr>
        <w:t xml:space="preserve">  </w:t>
      </w:r>
    </w:p>
    <w:p w14:paraId="233991CB" w14:textId="068BBE07" w:rsidR="009E6709" w:rsidRDefault="00BD4E33" w:rsidP="0034588F">
      <w:pPr>
        <w:spacing w:after="0"/>
        <w:jc w:val="both"/>
        <w:rPr>
          <w:bCs/>
          <w:iCs/>
          <w:lang w:eastAsia="ko-KR"/>
        </w:rPr>
      </w:pPr>
      <w:r w:rsidRPr="00BD4E33">
        <w:rPr>
          <w:bCs/>
          <w:iCs/>
          <w:lang w:eastAsia="ko-KR"/>
        </w:rPr>
        <w:t xml:space="preserve">In conclusion, CLI </w:t>
      </w:r>
      <w:r w:rsidR="000816AD">
        <w:rPr>
          <w:bCs/>
          <w:iCs/>
          <w:lang w:eastAsia="ko-KR"/>
        </w:rPr>
        <w:t>handling</w:t>
      </w:r>
      <w:r w:rsidRPr="00BD4E33">
        <w:rPr>
          <w:bCs/>
          <w:iCs/>
          <w:lang w:eastAsia="ko-KR"/>
        </w:rPr>
        <w:t xml:space="preserve"> schemes</w:t>
      </w:r>
      <w:r w:rsidR="000816AD">
        <w:rPr>
          <w:bCs/>
          <w:iCs/>
          <w:lang w:eastAsia="ko-KR"/>
        </w:rPr>
        <w:t>,</w:t>
      </w:r>
      <w:r w:rsidRPr="00BD4E33">
        <w:rPr>
          <w:bCs/>
          <w:iCs/>
          <w:lang w:eastAsia="ko-KR"/>
        </w:rPr>
        <w:t xml:space="preserve"> such as CLI</w:t>
      </w:r>
      <w:r>
        <w:rPr>
          <w:bCs/>
          <w:iCs/>
          <w:lang w:eastAsia="ko-KR"/>
        </w:rPr>
        <w:t>-</w:t>
      </w:r>
      <w:r w:rsidRPr="00BD4E33">
        <w:rPr>
          <w:bCs/>
          <w:iCs/>
          <w:lang w:eastAsia="ko-KR"/>
        </w:rPr>
        <w:t>aware</w:t>
      </w:r>
      <w:r>
        <w:rPr>
          <w:bCs/>
          <w:iCs/>
          <w:lang w:eastAsia="ko-KR"/>
        </w:rPr>
        <w:t xml:space="preserve"> </w:t>
      </w:r>
      <w:r w:rsidRPr="00BD4E33">
        <w:rPr>
          <w:bCs/>
          <w:iCs/>
          <w:lang w:eastAsia="ko-KR"/>
        </w:rPr>
        <w:t>schedul</w:t>
      </w:r>
      <w:r w:rsidR="000816AD">
        <w:rPr>
          <w:bCs/>
          <w:iCs/>
          <w:lang w:eastAsia="ko-KR"/>
        </w:rPr>
        <w:t>ing,</w:t>
      </w:r>
      <w:r w:rsidRPr="00BD4E33">
        <w:rPr>
          <w:bCs/>
          <w:iCs/>
          <w:lang w:eastAsia="ko-KR"/>
        </w:rPr>
        <w:t xml:space="preserve"> can help mitigate </w:t>
      </w:r>
      <w:r w:rsidR="000816AD">
        <w:rPr>
          <w:bCs/>
          <w:iCs/>
          <w:lang w:eastAsia="ko-KR"/>
        </w:rPr>
        <w:t xml:space="preserve">the negative impact of inter-UE </w:t>
      </w:r>
      <w:r w:rsidRPr="00BD4E33">
        <w:rPr>
          <w:bCs/>
          <w:iCs/>
          <w:lang w:eastAsia="ko-KR"/>
        </w:rPr>
        <w:t>CLI</w:t>
      </w:r>
      <w:r w:rsidR="000816AD">
        <w:rPr>
          <w:bCs/>
          <w:iCs/>
          <w:lang w:eastAsia="ko-KR"/>
        </w:rPr>
        <w:t xml:space="preserve"> on system performance. </w:t>
      </w:r>
      <w:r w:rsidR="0071080F">
        <w:rPr>
          <w:bCs/>
          <w:iCs/>
          <w:lang w:eastAsia="ko-KR"/>
        </w:rPr>
        <w:t xml:space="preserve">With such </w:t>
      </w:r>
      <w:r w:rsidR="000816AD">
        <w:rPr>
          <w:bCs/>
          <w:iCs/>
          <w:lang w:eastAsia="ko-KR"/>
        </w:rPr>
        <w:t>schemes</w:t>
      </w:r>
      <w:r w:rsidR="0071080F">
        <w:rPr>
          <w:bCs/>
          <w:iCs/>
          <w:lang w:eastAsia="ko-KR"/>
        </w:rPr>
        <w:t xml:space="preserve"> in place</w:t>
      </w:r>
      <w:r w:rsidR="000816AD">
        <w:rPr>
          <w:bCs/>
          <w:iCs/>
          <w:lang w:eastAsia="ko-KR"/>
        </w:rPr>
        <w:t xml:space="preserve">, </w:t>
      </w:r>
      <w:r w:rsidR="0071080F">
        <w:rPr>
          <w:bCs/>
          <w:iCs/>
          <w:lang w:eastAsia="ko-KR"/>
        </w:rPr>
        <w:t xml:space="preserve">practical deployment of </w:t>
      </w:r>
      <w:r w:rsidR="000816AD">
        <w:rPr>
          <w:bCs/>
          <w:iCs/>
          <w:lang w:eastAsia="ko-KR"/>
        </w:rPr>
        <w:t xml:space="preserve">SBFD </w:t>
      </w:r>
      <w:r w:rsidR="0071080F">
        <w:rPr>
          <w:bCs/>
          <w:iCs/>
          <w:lang w:eastAsia="ko-KR"/>
        </w:rPr>
        <w:t>networks is feasible.</w:t>
      </w:r>
      <w:r w:rsidR="000816AD">
        <w:rPr>
          <w:bCs/>
          <w:iCs/>
          <w:lang w:eastAsia="ko-KR"/>
        </w:rPr>
        <w:t xml:space="preserve"> </w:t>
      </w:r>
    </w:p>
    <w:p w14:paraId="3A070C53" w14:textId="77777777" w:rsidR="007426CB" w:rsidRPr="009E6709" w:rsidRDefault="007426CB" w:rsidP="0034588F">
      <w:pPr>
        <w:spacing w:after="0"/>
        <w:jc w:val="both"/>
        <w:rPr>
          <w:bCs/>
          <w:iCs/>
          <w:lang w:eastAsia="ko-KR"/>
        </w:rPr>
      </w:pPr>
    </w:p>
    <w:p w14:paraId="4350F5A8" w14:textId="1CE06184" w:rsidR="008D0619" w:rsidRDefault="007426CB" w:rsidP="005D766C">
      <w:pPr>
        <w:spacing w:after="0"/>
        <w:jc w:val="both"/>
        <w:rP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2</w:t>
      </w:r>
      <w:r w:rsidRPr="00EF4B7B">
        <w:rPr>
          <w:b/>
          <w:bCs/>
          <w:i/>
          <w:iCs/>
        </w:rPr>
        <w:fldChar w:fldCharType="end"/>
      </w:r>
      <w:r w:rsidRPr="00EF4B7B">
        <w:t xml:space="preserve">: </w:t>
      </w:r>
      <w:bookmarkStart w:id="6" w:name="_Ref142572438"/>
      <w:r w:rsidRPr="00A32C2A">
        <w:rPr>
          <w:b/>
          <w:i/>
          <w:lang w:eastAsia="ko-KR"/>
        </w:rPr>
        <w:t>Inter-UE CLI has significant impact to the DL performance</w:t>
      </w:r>
      <w:bookmarkEnd w:id="6"/>
      <w:r>
        <w:rPr>
          <w:b/>
          <w:i/>
          <w:lang w:eastAsia="ko-KR"/>
        </w:rPr>
        <w:t xml:space="preserve"> </w:t>
      </w:r>
    </w:p>
    <w:p w14:paraId="06D8E4DA" w14:textId="74339210" w:rsidR="00AD58A5" w:rsidRDefault="005D766C" w:rsidP="008D0619">
      <w:pPr>
        <w:spacing w:after="120"/>
        <w:jc w:val="both"/>
        <w:rPr>
          <w:b/>
          <w:i/>
          <w:lang w:eastAsia="ko-KR"/>
        </w:rPr>
      </w:pPr>
      <w:r w:rsidRPr="00EF4B7B">
        <w:rPr>
          <w:b/>
          <w:bCs/>
          <w:i/>
          <w:iCs/>
        </w:rPr>
        <w:lastRenderedPageBreak/>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3</w:t>
      </w:r>
      <w:r w:rsidRPr="00EF4B7B">
        <w:rPr>
          <w:b/>
          <w:bCs/>
          <w:i/>
          <w:iCs/>
        </w:rPr>
        <w:fldChar w:fldCharType="end"/>
      </w:r>
      <w:r w:rsidRPr="00EF4B7B">
        <w:t xml:space="preserve">: </w:t>
      </w:r>
      <w:bookmarkStart w:id="7" w:name="_Ref142572467"/>
      <w:r>
        <w:rPr>
          <w:b/>
          <w:i/>
          <w:lang w:eastAsia="ko-KR"/>
        </w:rPr>
        <w:t>CLI handling mechanisms, such as CLI-aware scheduling, can significantly improve system performance in the presence of inter-UE CLI</w:t>
      </w:r>
      <w:bookmarkEnd w:id="7"/>
      <w:r>
        <w:rPr>
          <w:b/>
          <w:i/>
          <w:lang w:eastAsia="ko-KR"/>
        </w:rPr>
        <w:t xml:space="preserve"> </w:t>
      </w:r>
    </w:p>
    <w:p w14:paraId="3EC3D702" w14:textId="684FF2D4" w:rsidR="006D24D6" w:rsidRDefault="006D24D6" w:rsidP="008D0619">
      <w:pPr>
        <w:spacing w:after="120"/>
        <w:jc w:val="both"/>
        <w:rP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4</w:t>
      </w:r>
      <w:r w:rsidRPr="00EF4B7B">
        <w:rPr>
          <w:b/>
          <w:bCs/>
          <w:i/>
          <w:iCs/>
        </w:rPr>
        <w:fldChar w:fldCharType="end"/>
      </w:r>
      <w:r w:rsidRPr="00EF4B7B">
        <w:t xml:space="preserve">: </w:t>
      </w:r>
      <w:bookmarkStart w:id="8" w:name="_Ref142572584"/>
      <w:r>
        <w:rPr>
          <w:b/>
          <w:i/>
          <w:lang w:eastAsia="ko-KR"/>
        </w:rPr>
        <w:t>Support</w:t>
      </w:r>
      <w:r w:rsidR="00CC06EC">
        <w:rPr>
          <w:b/>
          <w:i/>
          <w:lang w:eastAsia="ko-KR"/>
        </w:rPr>
        <w:t xml:space="preserve"> for mechanisms that enable efficient</w:t>
      </w:r>
      <w:r>
        <w:rPr>
          <w:b/>
          <w:i/>
          <w:lang w:eastAsia="ko-KR"/>
        </w:rPr>
        <w:t xml:space="preserve"> inter-UE CLI measurement</w:t>
      </w:r>
      <w:r w:rsidR="00CC06EC">
        <w:rPr>
          <w:b/>
          <w:i/>
          <w:lang w:eastAsia="ko-KR"/>
        </w:rPr>
        <w:t xml:space="preserve"> and reporting is essential to improve DL performance</w:t>
      </w:r>
      <w:bookmarkEnd w:id="8"/>
      <w:r w:rsidR="00CC06EC">
        <w:rPr>
          <w:b/>
          <w:i/>
          <w:lang w:eastAsia="ko-KR"/>
        </w:rPr>
        <w:t xml:space="preserve">  </w:t>
      </w:r>
      <w:r>
        <w:rPr>
          <w:b/>
          <w:i/>
          <w:lang w:eastAsia="ko-KR"/>
        </w:rPr>
        <w:t xml:space="preserve"> </w:t>
      </w:r>
    </w:p>
    <w:p w14:paraId="54C2E03E" w14:textId="53219BD0" w:rsidR="00AD58A5" w:rsidRDefault="00AD58A5" w:rsidP="005D766C">
      <w:pPr>
        <w:spacing w:after="0"/>
        <w:jc w:val="both"/>
        <w:rPr>
          <w:b/>
          <w:i/>
          <w:lang w:eastAsia="ko-KR"/>
        </w:rPr>
      </w:pPr>
    </w:p>
    <w:p w14:paraId="2BCAD3A5" w14:textId="78B3158E" w:rsidR="00AD58A5" w:rsidRPr="000157F5" w:rsidRDefault="00987945" w:rsidP="00D606F3">
      <w:pPr>
        <w:spacing w:after="0"/>
        <w:jc w:val="center"/>
        <w:rPr>
          <w:bCs/>
          <w:iCs/>
          <w:lang w:eastAsia="ko-KR"/>
        </w:rPr>
      </w:pPr>
      <w:r>
        <w:rPr>
          <w:bCs/>
          <w:iCs/>
          <w:noProof/>
          <w:lang w:eastAsia="ko-KR"/>
        </w:rPr>
        <w:drawing>
          <wp:inline distT="0" distB="0" distL="0" distR="0" wp14:anchorId="7D45F527" wp14:editId="7D18AD0A">
            <wp:extent cx="3200400" cy="200605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5235" cy="2027894"/>
                    </a:xfrm>
                    <a:prstGeom prst="rect">
                      <a:avLst/>
                    </a:prstGeom>
                    <a:noFill/>
                  </pic:spPr>
                </pic:pic>
              </a:graphicData>
            </a:graphic>
          </wp:inline>
        </w:drawing>
      </w:r>
    </w:p>
    <w:p w14:paraId="2789EA48" w14:textId="3175D48A" w:rsidR="00AD58A5" w:rsidRPr="00292F24" w:rsidRDefault="00292F24" w:rsidP="00292F24">
      <w:pPr>
        <w:pStyle w:val="Caption"/>
        <w:jc w:val="center"/>
        <w:rPr>
          <w:b w:val="0"/>
          <w:bCs/>
        </w:rPr>
      </w:pPr>
      <w:bookmarkStart w:id="9" w:name="_Ref142402629"/>
      <w:r w:rsidRPr="00B24062">
        <w:rPr>
          <w:b w:val="0"/>
          <w:bCs/>
        </w:rPr>
        <w:t xml:space="preserve">Figure </w:t>
      </w:r>
      <w:r w:rsidRPr="00B24062">
        <w:rPr>
          <w:b w:val="0"/>
          <w:bCs/>
        </w:rPr>
        <w:fldChar w:fldCharType="begin"/>
      </w:r>
      <w:r w:rsidRPr="00B24062">
        <w:rPr>
          <w:b w:val="0"/>
          <w:bCs/>
        </w:rPr>
        <w:instrText xml:space="preserve"> SEQ Figure \* ARABIC </w:instrText>
      </w:r>
      <w:r w:rsidRPr="00B24062">
        <w:rPr>
          <w:b w:val="0"/>
          <w:bCs/>
        </w:rPr>
        <w:fldChar w:fldCharType="separate"/>
      </w:r>
      <w:r w:rsidR="006411F6">
        <w:rPr>
          <w:b w:val="0"/>
          <w:bCs/>
          <w:noProof/>
        </w:rPr>
        <w:t>2</w:t>
      </w:r>
      <w:r w:rsidRPr="00B24062">
        <w:rPr>
          <w:b w:val="0"/>
          <w:bCs/>
        </w:rPr>
        <w:fldChar w:fldCharType="end"/>
      </w:r>
      <w:bookmarkEnd w:id="9"/>
      <w:r w:rsidRPr="00B24062">
        <w:t xml:space="preserve">: </w:t>
      </w:r>
      <w:r w:rsidR="00B24062" w:rsidRPr="00B24062">
        <w:rPr>
          <w:b w:val="0"/>
          <w:bCs/>
        </w:rPr>
        <w:t>DL</w:t>
      </w:r>
      <w:r w:rsidR="00B24062" w:rsidRPr="00B24062">
        <w:t xml:space="preserve"> </w:t>
      </w:r>
      <w:r w:rsidRPr="00B24062">
        <w:rPr>
          <w:b w:val="0"/>
          <w:bCs/>
        </w:rPr>
        <w:t xml:space="preserve">SE </w:t>
      </w:r>
      <w:r w:rsidR="00B24062">
        <w:rPr>
          <w:b w:val="0"/>
          <w:bCs/>
        </w:rPr>
        <w:t>performance in the presence of inter-UE CLI</w:t>
      </w:r>
    </w:p>
    <w:p w14:paraId="36A2FB68" w14:textId="6E83610C" w:rsidR="00F87C08" w:rsidRDefault="00F87C08" w:rsidP="002223A5">
      <w:pPr>
        <w:pStyle w:val="Heading3"/>
      </w:pPr>
      <w:r w:rsidRPr="002535CC">
        <w:t xml:space="preserve">Impact of </w:t>
      </w:r>
      <w:r>
        <w:t>intra/</w:t>
      </w:r>
      <w:r w:rsidRPr="002535CC">
        <w:t>inter-</w:t>
      </w:r>
      <w:r>
        <w:t>gNB</w:t>
      </w:r>
      <w:r w:rsidRPr="002535CC">
        <w:t xml:space="preserve"> CLI and SI in UL</w:t>
      </w:r>
    </w:p>
    <w:p w14:paraId="412EFDE0" w14:textId="694AEB64" w:rsidR="00F87C08" w:rsidRPr="00F87C08" w:rsidRDefault="00F87C08" w:rsidP="00E03E36">
      <w:pPr>
        <w:jc w:val="both"/>
      </w:pPr>
      <w:r>
        <w:rPr>
          <w:rStyle w:val="ui-provider"/>
        </w:rPr>
        <w:t xml:space="preserve">In the </w:t>
      </w:r>
      <w:r w:rsidR="00E03E36">
        <w:rPr>
          <w:rStyle w:val="ui-provider"/>
        </w:rPr>
        <w:t>UL</w:t>
      </w:r>
      <w:r>
        <w:rPr>
          <w:rStyle w:val="ui-provider"/>
        </w:rPr>
        <w:t xml:space="preserve"> interference analysis, CCI and total leakage powers with two capabilities (RCIC and RSIC) are compared. RCIC is the ratio of co-site interference cancellation, while RSIC is the ratio of self-interference cancellation. Furthermore, the frequency isolation in all cases is modelled by the adjacent channel interference model (ACIR) with an ACLR of 45dB and ACS of 43dB. </w:t>
      </w:r>
    </w:p>
    <w:p w14:paraId="58D5C3D1" w14:textId="77777777" w:rsidR="00F87C08" w:rsidRDefault="00F87C08" w:rsidP="00F87C08">
      <w:pPr>
        <w:spacing w:after="0"/>
        <w:jc w:val="center"/>
        <w:rPr>
          <w:rStyle w:val="ui-provider"/>
        </w:rPr>
      </w:pPr>
      <w:r>
        <w:rPr>
          <w:noProof/>
        </w:rPr>
        <w:drawing>
          <wp:inline distT="0" distB="0" distL="0" distR="0" wp14:anchorId="18283693" wp14:editId="58B3F9A8">
            <wp:extent cx="3678072" cy="19460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36762" cy="1977102"/>
                    </a:xfrm>
                    <a:prstGeom prst="rect">
                      <a:avLst/>
                    </a:prstGeom>
                  </pic:spPr>
                </pic:pic>
              </a:graphicData>
            </a:graphic>
          </wp:inline>
        </w:drawing>
      </w:r>
    </w:p>
    <w:p w14:paraId="160C36CD" w14:textId="0B453F74" w:rsidR="005D766C" w:rsidRDefault="00F87C08" w:rsidP="00F87C08">
      <w:pPr>
        <w:spacing w:after="0"/>
        <w:jc w:val="center"/>
        <w:rPr>
          <w:rStyle w:val="ui-provider"/>
        </w:rPr>
      </w:pPr>
      <w:bookmarkStart w:id="10" w:name="_Ref134781832"/>
      <w:r>
        <w:t xml:space="preserve">Figure </w:t>
      </w:r>
      <w:r>
        <w:fldChar w:fldCharType="begin"/>
      </w:r>
      <w:r>
        <w:instrText xml:space="preserve"> SEQ Figure \* ARABIC </w:instrText>
      </w:r>
      <w:r>
        <w:fldChar w:fldCharType="separate"/>
      </w:r>
      <w:r w:rsidR="006411F6">
        <w:rPr>
          <w:noProof/>
        </w:rPr>
        <w:t>3</w:t>
      </w:r>
      <w:r>
        <w:fldChar w:fldCharType="end"/>
      </w:r>
      <w:bookmarkEnd w:id="10"/>
      <w:r>
        <w:t xml:space="preserve">: </w:t>
      </w:r>
      <w:r>
        <w:rPr>
          <w:rStyle w:val="ui-provider"/>
        </w:rPr>
        <w:t>Comparison of CCI and total leakage power in UL</w:t>
      </w:r>
    </w:p>
    <w:p w14:paraId="4D4BA47D" w14:textId="77777777" w:rsidR="00F87C08" w:rsidRDefault="00F87C08" w:rsidP="00F87C08">
      <w:pPr>
        <w:spacing w:after="0"/>
        <w:jc w:val="center"/>
        <w:rPr>
          <w:rStyle w:val="ui-provider"/>
        </w:rPr>
      </w:pPr>
    </w:p>
    <w:p w14:paraId="1B04CFF4" w14:textId="7CC22BE5" w:rsidR="00F87C08" w:rsidRDefault="00F87C08" w:rsidP="00F87C08">
      <w:pPr>
        <w:spacing w:after="120"/>
        <w:jc w:val="both"/>
        <w:rPr>
          <w:rStyle w:val="ui-provider"/>
        </w:rPr>
      </w:pPr>
      <w:r>
        <w:rPr>
          <w:rStyle w:val="ui-provider"/>
        </w:rPr>
        <w:t xml:space="preserve">From </w:t>
      </w:r>
      <w:r>
        <w:rPr>
          <w:rStyle w:val="ui-provider"/>
        </w:rPr>
        <w:fldChar w:fldCharType="begin"/>
      </w:r>
      <w:r>
        <w:rPr>
          <w:rStyle w:val="ui-provider"/>
        </w:rPr>
        <w:instrText xml:space="preserve"> REF _Ref134781832 \h </w:instrText>
      </w:r>
      <w:r>
        <w:rPr>
          <w:rStyle w:val="ui-provider"/>
        </w:rPr>
      </w:r>
      <w:r>
        <w:rPr>
          <w:rStyle w:val="ui-provider"/>
        </w:rPr>
        <w:fldChar w:fldCharType="separate"/>
      </w:r>
      <w:r w:rsidR="006411F6">
        <w:t xml:space="preserve">Figure </w:t>
      </w:r>
      <w:r w:rsidR="006411F6">
        <w:rPr>
          <w:noProof/>
        </w:rPr>
        <w:t>3</w:t>
      </w:r>
      <w:r>
        <w:rPr>
          <w:rStyle w:val="ui-provider"/>
        </w:rPr>
        <w:fldChar w:fldCharType="end"/>
      </w:r>
      <w:r>
        <w:rPr>
          <w:rStyle w:val="ui-provider"/>
        </w:rPr>
        <w:t>, it is evident that the UL reception is significantly impacted by the RCIC capability. In this analysis, the RSIC capability is assumed as 102 dB which is considered to be the best value. It is derived by assuming 1dB receiver sensitivity loss.</w:t>
      </w:r>
    </w:p>
    <w:p w14:paraId="56D2011E" w14:textId="2A25734D" w:rsidR="00A14145" w:rsidRDefault="00F87C08" w:rsidP="002223A5">
      <w:pPr>
        <w:spacing w:after="0"/>
        <w:jc w:val="both"/>
        <w:rP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5</w:t>
      </w:r>
      <w:r w:rsidRPr="00EF4B7B">
        <w:rPr>
          <w:b/>
          <w:bCs/>
          <w:i/>
          <w:iCs/>
        </w:rPr>
        <w:fldChar w:fldCharType="end"/>
      </w:r>
      <w:r w:rsidRPr="00EF4B7B">
        <w:t xml:space="preserve">: </w:t>
      </w:r>
      <w:bookmarkStart w:id="11" w:name="_Ref134784080"/>
      <w:r>
        <w:rPr>
          <w:b/>
          <w:i/>
          <w:lang w:eastAsia="ko-KR"/>
        </w:rPr>
        <w:t>Intra</w:t>
      </w:r>
      <w:r w:rsidRPr="00A32C2A">
        <w:rPr>
          <w:b/>
          <w:i/>
          <w:lang w:eastAsia="ko-KR"/>
        </w:rPr>
        <w:t>-</w:t>
      </w:r>
      <w:r>
        <w:rPr>
          <w:b/>
          <w:i/>
          <w:lang w:eastAsia="ko-KR"/>
        </w:rPr>
        <w:t>site gNB</w:t>
      </w:r>
      <w:r w:rsidRPr="00A32C2A">
        <w:rPr>
          <w:b/>
          <w:i/>
          <w:lang w:eastAsia="ko-KR"/>
        </w:rPr>
        <w:t xml:space="preserve"> CLI has significant impact to the </w:t>
      </w:r>
      <w:r>
        <w:rPr>
          <w:b/>
          <w:i/>
          <w:lang w:eastAsia="ko-KR"/>
        </w:rPr>
        <w:t>U</w:t>
      </w:r>
      <w:r w:rsidRPr="00A32C2A">
        <w:rPr>
          <w:b/>
          <w:i/>
          <w:lang w:eastAsia="ko-KR"/>
        </w:rPr>
        <w:t>L performance</w:t>
      </w:r>
      <w:bookmarkEnd w:id="11"/>
    </w:p>
    <w:p w14:paraId="4D0EA846" w14:textId="77777777" w:rsidR="00A14145" w:rsidRDefault="00A14145" w:rsidP="002223A5">
      <w:pPr>
        <w:spacing w:after="0"/>
        <w:jc w:val="both"/>
        <w:rPr>
          <w:b/>
          <w:i/>
          <w:lang w:eastAsia="ko-KR"/>
        </w:rPr>
      </w:pPr>
    </w:p>
    <w:p w14:paraId="0E2EBF21" w14:textId="32469F11" w:rsidR="00A14145" w:rsidRDefault="00A14145" w:rsidP="00A14145">
      <w:pPr>
        <w:spacing w:after="0"/>
        <w:jc w:val="both"/>
        <w:rPr>
          <w:rStyle w:val="ui-provider"/>
        </w:rPr>
      </w:pPr>
      <w:r>
        <w:rPr>
          <w:rStyle w:val="ui-provider"/>
        </w:rPr>
        <w:t>The SE performance is compared in the following cases.</w:t>
      </w:r>
    </w:p>
    <w:p w14:paraId="32671CD8" w14:textId="77777777" w:rsidR="00A14145" w:rsidRDefault="00A14145" w:rsidP="00A14145">
      <w:pPr>
        <w:pStyle w:val="ListParagraph"/>
        <w:numPr>
          <w:ilvl w:val="0"/>
          <w:numId w:val="8"/>
        </w:numPr>
        <w:spacing w:after="0"/>
        <w:jc w:val="both"/>
        <w:rPr>
          <w:rStyle w:val="ui-provider"/>
        </w:rPr>
      </w:pPr>
      <w:r>
        <w:rPr>
          <w:rStyle w:val="ui-provider"/>
        </w:rPr>
        <w:t>Baseline case: without modelling of any leakage power (ideal SBFD)</w:t>
      </w:r>
    </w:p>
    <w:p w14:paraId="38CA6BBA" w14:textId="2BFEAF2B" w:rsidR="00A14145" w:rsidRDefault="00A14145" w:rsidP="00A14145">
      <w:pPr>
        <w:pStyle w:val="ListParagraph"/>
        <w:numPr>
          <w:ilvl w:val="0"/>
          <w:numId w:val="8"/>
        </w:numPr>
        <w:spacing w:after="0"/>
        <w:jc w:val="both"/>
        <w:rPr>
          <w:rStyle w:val="ui-provider"/>
        </w:rPr>
      </w:pPr>
      <w:r>
        <w:rPr>
          <w:rStyle w:val="ui-provider"/>
        </w:rPr>
        <w:t>With modelling of only inter-site gNB CLI in UL and inter-UE CLI in D</w:t>
      </w:r>
      <w:r w:rsidR="004700B9">
        <w:rPr>
          <w:rStyle w:val="ui-provider"/>
        </w:rPr>
        <w:t>L</w:t>
      </w:r>
    </w:p>
    <w:p w14:paraId="48938F91" w14:textId="77777777" w:rsidR="00A14145" w:rsidRDefault="00A14145" w:rsidP="00A14145">
      <w:pPr>
        <w:pStyle w:val="ListParagraph"/>
        <w:numPr>
          <w:ilvl w:val="0"/>
          <w:numId w:val="8"/>
        </w:numPr>
        <w:spacing w:after="0"/>
        <w:jc w:val="both"/>
        <w:rPr>
          <w:rStyle w:val="ui-provider"/>
        </w:rPr>
      </w:pPr>
      <w:r>
        <w:rPr>
          <w:rStyle w:val="ui-provider"/>
        </w:rPr>
        <w:t>With modelling of inter/intra-site gNB CLI and gNB SI in UL, and inter-UE CLI in DL</w:t>
      </w:r>
    </w:p>
    <w:p w14:paraId="5FF79513" w14:textId="77777777" w:rsidR="00A14145" w:rsidRDefault="00A14145" w:rsidP="00A14145">
      <w:pPr>
        <w:pStyle w:val="ListParagraph"/>
        <w:numPr>
          <w:ilvl w:val="1"/>
          <w:numId w:val="8"/>
        </w:numPr>
        <w:spacing w:after="0"/>
        <w:jc w:val="both"/>
        <w:rPr>
          <w:rStyle w:val="ui-provider"/>
        </w:rPr>
      </w:pPr>
      <w:r>
        <w:rPr>
          <w:rStyle w:val="ui-provider"/>
        </w:rPr>
        <w:t>RSIC = 0dB and RCIC = 0dB</w:t>
      </w:r>
    </w:p>
    <w:p w14:paraId="772ECC57" w14:textId="276D18F2" w:rsidR="006411F6" w:rsidRDefault="00A14145" w:rsidP="006411F6">
      <w:pPr>
        <w:pStyle w:val="ListParagraph"/>
        <w:numPr>
          <w:ilvl w:val="1"/>
          <w:numId w:val="8"/>
        </w:numPr>
        <w:spacing w:after="0"/>
        <w:jc w:val="both"/>
      </w:pPr>
      <w:r>
        <w:rPr>
          <w:rStyle w:val="ui-provider"/>
        </w:rPr>
        <w:t>RSIC = 10</w:t>
      </w:r>
      <w:r w:rsidR="004700B9">
        <w:rPr>
          <w:rStyle w:val="ui-provider"/>
        </w:rPr>
        <w:t>6</w:t>
      </w:r>
      <w:r>
        <w:rPr>
          <w:rStyle w:val="ui-provider"/>
        </w:rPr>
        <w:t xml:space="preserve">dB and RCIC = </w:t>
      </w:r>
      <w:r w:rsidR="004700B9">
        <w:rPr>
          <w:rStyle w:val="ui-provider"/>
        </w:rPr>
        <w:t>110</w:t>
      </w:r>
      <w:r>
        <w:rPr>
          <w:rStyle w:val="ui-provider"/>
        </w:rPr>
        <w:t>dB</w:t>
      </w:r>
      <w:r w:rsidR="00505E26">
        <w:rPr>
          <w:lang w:val="en-US"/>
        </w:rPr>
        <w:fldChar w:fldCharType="begin"/>
      </w:r>
      <w:r w:rsidR="00505E26" w:rsidRPr="006411F6">
        <w:rPr>
          <w:lang w:val="en-US"/>
        </w:rPr>
        <w:instrText xml:space="preserve"> REF _Ref134781923 \h </w:instrText>
      </w:r>
      <w:r w:rsidR="00505E26">
        <w:rPr>
          <w:lang w:val="en-US"/>
        </w:rPr>
      </w:r>
      <w:r w:rsidR="00505E26">
        <w:rPr>
          <w:lang w:val="en-US"/>
        </w:rPr>
        <w:fldChar w:fldCharType="separate"/>
      </w:r>
    </w:p>
    <w:p w14:paraId="3793C1AE" w14:textId="2C0D459D" w:rsidR="00FF04FB" w:rsidRDefault="006411F6" w:rsidP="00FF04FB">
      <w:pPr>
        <w:spacing w:after="0"/>
        <w:jc w:val="both"/>
        <w:rPr>
          <w:rStyle w:val="ui-provider"/>
        </w:rPr>
      </w:pPr>
      <w:r w:rsidRPr="00B80335">
        <w:t xml:space="preserve">Table </w:t>
      </w:r>
      <w:r>
        <w:rPr>
          <w:noProof/>
        </w:rPr>
        <w:t>2</w:t>
      </w:r>
      <w:r w:rsidR="00505E26">
        <w:rPr>
          <w:lang w:val="en-US"/>
        </w:rPr>
        <w:fldChar w:fldCharType="end"/>
      </w:r>
      <w:r w:rsidR="00505E26">
        <w:rPr>
          <w:lang w:val="en-US"/>
        </w:rPr>
        <w:t xml:space="preserve"> </w:t>
      </w:r>
      <w:r w:rsidR="0043239D">
        <w:rPr>
          <w:lang w:val="en-US"/>
        </w:rPr>
        <w:t xml:space="preserve">shows the absolute values of </w:t>
      </w:r>
      <w:r w:rsidR="00B61DF9">
        <w:rPr>
          <w:lang w:val="en-US"/>
        </w:rPr>
        <w:t>SE</w:t>
      </w:r>
      <w:r w:rsidR="0043239D">
        <w:rPr>
          <w:lang w:val="en-US"/>
        </w:rPr>
        <w:t xml:space="preserve"> and </w:t>
      </w:r>
      <w:r w:rsidR="009D19A3">
        <w:rPr>
          <w:lang w:val="en-US"/>
        </w:rPr>
        <w:fldChar w:fldCharType="begin"/>
      </w:r>
      <w:r w:rsidR="009D19A3">
        <w:rPr>
          <w:lang w:val="en-US"/>
        </w:rPr>
        <w:instrText xml:space="preserve"> REF _Ref134781951 \h </w:instrText>
      </w:r>
      <w:r w:rsidR="009D19A3">
        <w:rPr>
          <w:lang w:val="en-US"/>
        </w:rPr>
      </w:r>
      <w:r w:rsidR="009D19A3">
        <w:rPr>
          <w:lang w:val="en-US"/>
        </w:rPr>
        <w:fldChar w:fldCharType="separate"/>
      </w:r>
      <w:r>
        <w:t xml:space="preserve">Figure </w:t>
      </w:r>
      <w:r>
        <w:rPr>
          <w:noProof/>
        </w:rPr>
        <w:t>4</w:t>
      </w:r>
      <w:r w:rsidR="009D19A3">
        <w:rPr>
          <w:lang w:val="en-US"/>
        </w:rPr>
        <w:fldChar w:fldCharType="end"/>
      </w:r>
      <w:r w:rsidR="0043239D">
        <w:rPr>
          <w:lang w:val="en-US"/>
        </w:rPr>
        <w:t xml:space="preserve"> shows the </w:t>
      </w:r>
      <w:r w:rsidR="00FF04FB">
        <w:rPr>
          <w:lang w:val="en-US"/>
        </w:rPr>
        <w:t xml:space="preserve">UL </w:t>
      </w:r>
      <w:r w:rsidR="0043239D">
        <w:rPr>
          <w:lang w:val="en-US"/>
        </w:rPr>
        <w:t>S</w:t>
      </w:r>
      <w:r w:rsidR="00B61DF9">
        <w:rPr>
          <w:lang w:val="en-US"/>
        </w:rPr>
        <w:t>E loss</w:t>
      </w:r>
      <w:r w:rsidR="0043239D">
        <w:rPr>
          <w:lang w:val="en-US"/>
        </w:rPr>
        <w:t xml:space="preserve"> of SBFD </w:t>
      </w:r>
      <w:r w:rsidR="00B61DF9">
        <w:rPr>
          <w:lang w:val="en-US"/>
        </w:rPr>
        <w:t xml:space="preserve">due to the different </w:t>
      </w:r>
      <w:r w:rsidR="00DF1054">
        <w:rPr>
          <w:lang w:val="en-US"/>
        </w:rPr>
        <w:t>CLI</w:t>
      </w:r>
      <w:r w:rsidR="00100821">
        <w:rPr>
          <w:lang w:val="en-US"/>
        </w:rPr>
        <w:t xml:space="preserve">s and gNB </w:t>
      </w:r>
      <w:r w:rsidR="00DF1054">
        <w:rPr>
          <w:lang w:val="en-US"/>
        </w:rPr>
        <w:t>SI</w:t>
      </w:r>
      <w:r w:rsidR="0043239D">
        <w:rPr>
          <w:lang w:val="en-US"/>
        </w:rPr>
        <w:t>.</w:t>
      </w:r>
      <w:bookmarkStart w:id="12" w:name="_Ref134781923"/>
      <w:r w:rsidR="00FF04FB">
        <w:t xml:space="preserve"> </w:t>
      </w:r>
      <w:r w:rsidR="00FF04FB">
        <w:rPr>
          <w:rStyle w:val="ui-provider"/>
        </w:rPr>
        <w:fldChar w:fldCharType="begin"/>
      </w:r>
      <w:r w:rsidR="00FF04FB">
        <w:rPr>
          <w:rStyle w:val="ui-provider"/>
        </w:rPr>
        <w:instrText xml:space="preserve"> REF _Ref134781951 \h </w:instrText>
      </w:r>
      <w:r w:rsidR="00FF04FB">
        <w:rPr>
          <w:rStyle w:val="ui-provider"/>
        </w:rPr>
      </w:r>
      <w:r w:rsidR="00FF04FB">
        <w:rPr>
          <w:rStyle w:val="ui-provider"/>
        </w:rPr>
        <w:fldChar w:fldCharType="separate"/>
      </w:r>
      <w:r>
        <w:t xml:space="preserve">Figure </w:t>
      </w:r>
      <w:r>
        <w:rPr>
          <w:noProof/>
        </w:rPr>
        <w:t>4</w:t>
      </w:r>
      <w:r w:rsidR="00FF04FB">
        <w:rPr>
          <w:rStyle w:val="ui-provider"/>
        </w:rPr>
        <w:fldChar w:fldCharType="end"/>
      </w:r>
      <w:r w:rsidR="00FF04FB">
        <w:rPr>
          <w:rStyle w:val="ui-provider"/>
        </w:rPr>
        <w:t xml:space="preserve"> reveals that UL SE is degraded</w:t>
      </w:r>
      <w:r w:rsidR="007271D2">
        <w:rPr>
          <w:rStyle w:val="ui-provider"/>
        </w:rPr>
        <w:t xml:space="preserve"> significantly</w:t>
      </w:r>
      <w:r w:rsidR="00FF04FB">
        <w:rPr>
          <w:rStyle w:val="ui-provider"/>
        </w:rPr>
        <w:t xml:space="preserve"> due to the inter-site gNB CLI</w:t>
      </w:r>
      <w:r w:rsidR="007271D2">
        <w:rPr>
          <w:rStyle w:val="ui-provider"/>
        </w:rPr>
        <w:t xml:space="preserve"> and SI</w:t>
      </w:r>
      <w:r w:rsidR="00FF04FB">
        <w:rPr>
          <w:rStyle w:val="ui-provider"/>
        </w:rPr>
        <w:t>. Additionally, the UL SE is heavily influenced by the RSIC and RCIC capabilities. Since DL reception at the UE is unaffected by these gNB capabilities, the DL SE remains unchanged for the other cases.</w:t>
      </w:r>
    </w:p>
    <w:p w14:paraId="2F7D3CF3" w14:textId="77777777" w:rsidR="00BE2324" w:rsidRDefault="00BE2324" w:rsidP="00FF04FB">
      <w:pPr>
        <w:spacing w:after="120"/>
      </w:pPr>
    </w:p>
    <w:p w14:paraId="06BD5DD1" w14:textId="64E81FE4" w:rsidR="00465007" w:rsidRDefault="00B80335" w:rsidP="00BE2324">
      <w:pPr>
        <w:spacing w:after="120"/>
        <w:jc w:val="center"/>
        <w:rPr>
          <w:rStyle w:val="ui-provider"/>
        </w:rPr>
      </w:pPr>
      <w:r w:rsidRPr="00B80335">
        <w:lastRenderedPageBreak/>
        <w:t xml:space="preserve">Table </w:t>
      </w:r>
      <w:r w:rsidRPr="00B80335">
        <w:fldChar w:fldCharType="begin"/>
      </w:r>
      <w:r w:rsidRPr="00B80335">
        <w:instrText xml:space="preserve"> SEQ Table \* ARABIC </w:instrText>
      </w:r>
      <w:r w:rsidRPr="00B80335">
        <w:fldChar w:fldCharType="separate"/>
      </w:r>
      <w:r w:rsidR="006411F6">
        <w:rPr>
          <w:noProof/>
        </w:rPr>
        <w:t>2</w:t>
      </w:r>
      <w:r w:rsidRPr="00B80335">
        <w:fldChar w:fldCharType="end"/>
      </w:r>
      <w:bookmarkEnd w:id="12"/>
      <w:r w:rsidRPr="00B80335">
        <w:t>:</w:t>
      </w:r>
      <w:r w:rsidRPr="003A1B8E">
        <w:rPr>
          <w:b/>
          <w:bCs/>
        </w:rPr>
        <w:t xml:space="preserve"> </w:t>
      </w:r>
      <w:r w:rsidR="00773015">
        <w:rPr>
          <w:rStyle w:val="ui-provider"/>
        </w:rPr>
        <w:t>Spectral Efficiency</w:t>
      </w:r>
      <w:r w:rsidR="00705E0C">
        <w:rPr>
          <w:rStyle w:val="ui-provider"/>
        </w:rPr>
        <w:t xml:space="preserve"> (absolute values)</w:t>
      </w:r>
    </w:p>
    <w:tbl>
      <w:tblPr>
        <w:tblStyle w:val="ListTable3-Accent1"/>
        <w:tblW w:w="8359" w:type="dxa"/>
        <w:jc w:val="center"/>
        <w:tblLook w:val="0420" w:firstRow="1" w:lastRow="0" w:firstColumn="0" w:lastColumn="0" w:noHBand="0" w:noVBand="1"/>
      </w:tblPr>
      <w:tblGrid>
        <w:gridCol w:w="600"/>
        <w:gridCol w:w="1435"/>
        <w:gridCol w:w="1862"/>
        <w:gridCol w:w="1796"/>
        <w:gridCol w:w="2666"/>
      </w:tblGrid>
      <w:tr w:rsidR="00F969EE" w:rsidRPr="00264161" w14:paraId="1BC5364C" w14:textId="77777777" w:rsidTr="00BE2324">
        <w:trPr>
          <w:cnfStyle w:val="100000000000" w:firstRow="1" w:lastRow="0" w:firstColumn="0" w:lastColumn="0" w:oddVBand="0" w:evenVBand="0" w:oddHBand="0" w:evenHBand="0" w:firstRowFirstColumn="0" w:firstRowLastColumn="0" w:lastRowFirstColumn="0" w:lastRowLastColumn="0"/>
          <w:trHeight w:val="618"/>
          <w:jc w:val="center"/>
        </w:trPr>
        <w:tc>
          <w:tcPr>
            <w:tcW w:w="600" w:type="dxa"/>
            <w:vMerge w:val="restart"/>
            <w:hideMark/>
          </w:tcPr>
          <w:p w14:paraId="3D58A6A3" w14:textId="77777777" w:rsidR="00F969EE" w:rsidRPr="00264161" w:rsidRDefault="00F969EE" w:rsidP="00B315FF">
            <w:pPr>
              <w:spacing w:after="0"/>
              <w:rPr>
                <w:rFonts w:eastAsia="Times New Roman"/>
                <w:lang w:val="en-US" w:eastAsia="zh-CN"/>
              </w:rPr>
            </w:pPr>
          </w:p>
        </w:tc>
        <w:tc>
          <w:tcPr>
            <w:tcW w:w="1435" w:type="dxa"/>
            <w:vMerge w:val="restart"/>
            <w:hideMark/>
          </w:tcPr>
          <w:p w14:paraId="0CFD9582" w14:textId="77777777" w:rsidR="00F969EE" w:rsidRPr="00264161" w:rsidRDefault="00F969EE" w:rsidP="00BE2324">
            <w:pPr>
              <w:spacing w:after="0"/>
              <w:jc w:val="center"/>
              <w:rPr>
                <w:rFonts w:eastAsia="Times New Roman"/>
                <w:lang w:val="en-US" w:eastAsia="zh-CN"/>
              </w:rPr>
            </w:pPr>
            <w:r w:rsidRPr="00264161">
              <w:rPr>
                <w:rFonts w:eastAsia="Times New Roman"/>
                <w:color w:val="FFFFFF" w:themeColor="light1"/>
                <w:kern w:val="24"/>
                <w:lang w:val="en-US" w:eastAsia="zh-CN"/>
              </w:rPr>
              <w:t>w/o CLI and SI</w:t>
            </w:r>
          </w:p>
          <w:p w14:paraId="775D4AFB" w14:textId="77777777" w:rsidR="00F969EE" w:rsidRPr="00264161" w:rsidRDefault="00F969EE" w:rsidP="00BE2324">
            <w:pPr>
              <w:spacing w:after="0"/>
              <w:jc w:val="center"/>
              <w:rPr>
                <w:rFonts w:eastAsia="Times New Roman"/>
                <w:lang w:val="en-US" w:eastAsia="zh-CN"/>
              </w:rPr>
            </w:pPr>
            <w:r w:rsidRPr="00264161">
              <w:rPr>
                <w:rFonts w:eastAsia="Times New Roman"/>
                <w:color w:val="FFFFFF" w:themeColor="light1"/>
                <w:kern w:val="24"/>
                <w:lang w:val="en-US" w:eastAsia="zh-CN"/>
              </w:rPr>
              <w:t>(Baseline)</w:t>
            </w:r>
          </w:p>
        </w:tc>
        <w:tc>
          <w:tcPr>
            <w:tcW w:w="1862" w:type="dxa"/>
            <w:vMerge w:val="restart"/>
            <w:hideMark/>
          </w:tcPr>
          <w:p w14:paraId="51126636" w14:textId="77777777" w:rsidR="00F969EE" w:rsidRPr="00264161" w:rsidRDefault="00F969EE" w:rsidP="00B315FF">
            <w:pPr>
              <w:spacing w:after="0"/>
              <w:jc w:val="center"/>
              <w:rPr>
                <w:rFonts w:eastAsia="Times New Roman"/>
                <w:lang w:val="en-US" w:eastAsia="zh-CN"/>
              </w:rPr>
            </w:pPr>
            <w:r w:rsidRPr="00264161">
              <w:rPr>
                <w:rFonts w:eastAsia="Times New Roman"/>
                <w:color w:val="FFFFFF" w:themeColor="light1"/>
                <w:kern w:val="24"/>
                <w:lang w:val="en-US" w:eastAsia="zh-CN"/>
              </w:rPr>
              <w:t>with inter-site gNB CLI</w:t>
            </w:r>
            <w:r>
              <w:rPr>
                <w:rFonts w:eastAsia="Times New Roman"/>
                <w:color w:val="FFFFFF" w:themeColor="light1"/>
                <w:kern w:val="24"/>
                <w:lang w:val="en-US" w:eastAsia="zh-CN"/>
              </w:rPr>
              <w:t xml:space="preserve"> in UL</w:t>
            </w:r>
            <w:r w:rsidRPr="00264161">
              <w:rPr>
                <w:rFonts w:eastAsia="Times New Roman"/>
                <w:color w:val="FFFFFF" w:themeColor="light1"/>
                <w:kern w:val="24"/>
                <w:lang w:val="en-US" w:eastAsia="zh-CN"/>
              </w:rPr>
              <w:t xml:space="preserve"> and inter-UE CLI</w:t>
            </w:r>
            <w:r>
              <w:rPr>
                <w:rFonts w:eastAsia="Times New Roman"/>
                <w:color w:val="FFFFFF" w:themeColor="light1"/>
                <w:kern w:val="24"/>
                <w:lang w:val="en-US" w:eastAsia="zh-CN"/>
              </w:rPr>
              <w:t xml:space="preserve"> in DL</w:t>
            </w:r>
            <w:r w:rsidRPr="00264161">
              <w:rPr>
                <w:rFonts w:eastAsia="Times New Roman"/>
                <w:color w:val="FFFFFF" w:themeColor="light1"/>
                <w:kern w:val="24"/>
                <w:lang w:val="en-US" w:eastAsia="zh-CN"/>
              </w:rPr>
              <w:t xml:space="preserve"> </w:t>
            </w:r>
          </w:p>
        </w:tc>
        <w:tc>
          <w:tcPr>
            <w:tcW w:w="4462" w:type="dxa"/>
            <w:gridSpan w:val="2"/>
            <w:hideMark/>
          </w:tcPr>
          <w:p w14:paraId="49E7F62A" w14:textId="77777777" w:rsidR="00F969EE" w:rsidRDefault="00F969EE" w:rsidP="00B315FF">
            <w:pPr>
              <w:spacing w:after="0"/>
              <w:jc w:val="center"/>
              <w:rPr>
                <w:rFonts w:eastAsia="Times New Roman"/>
                <w:b w:val="0"/>
                <w:bCs w:val="0"/>
                <w:color w:val="FFFFFF" w:themeColor="light1"/>
                <w:kern w:val="24"/>
                <w:lang w:val="en-US" w:eastAsia="zh-CN"/>
              </w:rPr>
            </w:pPr>
            <w:r w:rsidRPr="00264161">
              <w:rPr>
                <w:rFonts w:eastAsia="Times New Roman"/>
                <w:color w:val="FFFFFF" w:themeColor="light1"/>
                <w:kern w:val="24"/>
                <w:lang w:val="en-US" w:eastAsia="zh-CN"/>
              </w:rPr>
              <w:t>with inter-site-CLI + co-site CLI + gNB-SI</w:t>
            </w:r>
            <w:r>
              <w:rPr>
                <w:rFonts w:eastAsia="Times New Roman"/>
                <w:color w:val="FFFFFF" w:themeColor="light1"/>
                <w:kern w:val="24"/>
                <w:lang w:val="en-US" w:eastAsia="zh-CN"/>
              </w:rPr>
              <w:t xml:space="preserve"> in UL</w:t>
            </w:r>
          </w:p>
          <w:p w14:paraId="62DB8D36" w14:textId="77777777" w:rsidR="00F969EE" w:rsidRPr="00264161" w:rsidRDefault="00F969EE" w:rsidP="00B315FF">
            <w:pPr>
              <w:spacing w:after="0"/>
              <w:jc w:val="center"/>
              <w:rPr>
                <w:rFonts w:eastAsia="Times New Roman"/>
                <w:lang w:val="en-US" w:eastAsia="zh-CN"/>
              </w:rPr>
            </w:pPr>
            <w:r>
              <w:rPr>
                <w:rFonts w:eastAsia="Times New Roman"/>
                <w:color w:val="FFFFFF" w:themeColor="light1"/>
                <w:kern w:val="24"/>
                <w:lang w:val="en-US" w:eastAsia="zh-CN"/>
              </w:rPr>
              <w:t xml:space="preserve">and </w:t>
            </w:r>
            <w:r w:rsidRPr="00264161">
              <w:rPr>
                <w:rFonts w:eastAsia="Times New Roman"/>
                <w:color w:val="FFFFFF" w:themeColor="light1"/>
                <w:kern w:val="24"/>
                <w:lang w:val="en-US" w:eastAsia="zh-CN"/>
              </w:rPr>
              <w:t>inter-UE CLI</w:t>
            </w:r>
            <w:r>
              <w:rPr>
                <w:rFonts w:eastAsia="Times New Roman"/>
                <w:color w:val="FFFFFF" w:themeColor="light1"/>
                <w:kern w:val="24"/>
                <w:lang w:val="en-US" w:eastAsia="zh-CN"/>
              </w:rPr>
              <w:t xml:space="preserve"> in DL</w:t>
            </w:r>
          </w:p>
        </w:tc>
      </w:tr>
      <w:tr w:rsidR="00D3073F" w:rsidRPr="00264161" w14:paraId="27912902" w14:textId="77777777" w:rsidTr="00BE2324">
        <w:trPr>
          <w:cnfStyle w:val="000000100000" w:firstRow="0" w:lastRow="0" w:firstColumn="0" w:lastColumn="0" w:oddVBand="0" w:evenVBand="0" w:oddHBand="1" w:evenHBand="0" w:firstRowFirstColumn="0" w:firstRowLastColumn="0" w:lastRowFirstColumn="0" w:lastRowLastColumn="0"/>
          <w:trHeight w:val="618"/>
          <w:jc w:val="center"/>
        </w:trPr>
        <w:tc>
          <w:tcPr>
            <w:tcW w:w="0" w:type="auto"/>
            <w:vMerge/>
            <w:hideMark/>
          </w:tcPr>
          <w:p w14:paraId="77C0C7BD" w14:textId="77777777" w:rsidR="00D3073F" w:rsidRPr="00264161" w:rsidRDefault="00D3073F" w:rsidP="00B315FF">
            <w:pPr>
              <w:spacing w:after="0"/>
              <w:rPr>
                <w:rFonts w:eastAsia="Times New Roman"/>
                <w:lang w:val="en-US" w:eastAsia="zh-CN"/>
              </w:rPr>
            </w:pPr>
          </w:p>
        </w:tc>
        <w:tc>
          <w:tcPr>
            <w:tcW w:w="0" w:type="auto"/>
            <w:vMerge/>
            <w:hideMark/>
          </w:tcPr>
          <w:p w14:paraId="39BB9E76" w14:textId="77777777" w:rsidR="00D3073F" w:rsidRPr="00264161" w:rsidRDefault="00D3073F" w:rsidP="00BE2324">
            <w:pPr>
              <w:spacing w:after="0"/>
              <w:jc w:val="center"/>
              <w:rPr>
                <w:rFonts w:eastAsia="Times New Roman"/>
                <w:lang w:val="en-US" w:eastAsia="zh-CN"/>
              </w:rPr>
            </w:pPr>
          </w:p>
        </w:tc>
        <w:tc>
          <w:tcPr>
            <w:tcW w:w="0" w:type="auto"/>
            <w:vMerge/>
            <w:hideMark/>
          </w:tcPr>
          <w:p w14:paraId="6DBAF7FF" w14:textId="77777777" w:rsidR="00D3073F" w:rsidRPr="00264161" w:rsidRDefault="00D3073F" w:rsidP="00B315FF">
            <w:pPr>
              <w:spacing w:after="0"/>
              <w:rPr>
                <w:rFonts w:eastAsia="Times New Roman"/>
                <w:lang w:val="en-US" w:eastAsia="zh-CN"/>
              </w:rPr>
            </w:pPr>
          </w:p>
        </w:tc>
        <w:tc>
          <w:tcPr>
            <w:tcW w:w="1796" w:type="dxa"/>
            <w:hideMark/>
          </w:tcPr>
          <w:p w14:paraId="0BFBE495" w14:textId="28F52AEC" w:rsidR="00D3073F" w:rsidRPr="00264161" w:rsidRDefault="00D3073F" w:rsidP="00B315FF">
            <w:pPr>
              <w:spacing w:after="0"/>
              <w:jc w:val="center"/>
              <w:rPr>
                <w:rFonts w:eastAsia="Times New Roman"/>
                <w:lang w:val="en-US" w:eastAsia="zh-CN"/>
              </w:rPr>
            </w:pPr>
            <w:r w:rsidRPr="00264161">
              <w:rPr>
                <w:rFonts w:eastAsia="Times New Roman"/>
                <w:b/>
                <w:bCs/>
                <w:color w:val="000000" w:themeColor="dark1"/>
                <w:kern w:val="24"/>
                <w:lang w:val="en-US" w:eastAsia="zh-CN"/>
              </w:rPr>
              <w:t xml:space="preserve">RSIC = </w:t>
            </w:r>
            <w:r w:rsidR="009B3DEA">
              <w:rPr>
                <w:rFonts w:eastAsia="Times New Roman"/>
                <w:b/>
                <w:bCs/>
                <w:color w:val="000000" w:themeColor="dark1"/>
                <w:kern w:val="24"/>
                <w:lang w:val="en-US" w:eastAsia="zh-CN"/>
              </w:rPr>
              <w:t>0</w:t>
            </w:r>
            <w:r w:rsidRPr="00264161">
              <w:rPr>
                <w:rFonts w:eastAsia="Times New Roman"/>
                <w:b/>
                <w:bCs/>
                <w:color w:val="000000" w:themeColor="dark1"/>
                <w:kern w:val="24"/>
                <w:lang w:val="en-US" w:eastAsia="zh-CN"/>
              </w:rPr>
              <w:t xml:space="preserve"> dB, RCIC = </w:t>
            </w:r>
            <w:r w:rsidR="009B3DEA">
              <w:rPr>
                <w:rFonts w:eastAsia="Times New Roman"/>
                <w:b/>
                <w:bCs/>
                <w:color w:val="000000" w:themeColor="dark1"/>
                <w:kern w:val="24"/>
                <w:lang w:val="en-US" w:eastAsia="zh-CN"/>
              </w:rPr>
              <w:t>0</w:t>
            </w:r>
            <w:r w:rsidRPr="00264161">
              <w:rPr>
                <w:rFonts w:eastAsia="Times New Roman"/>
                <w:b/>
                <w:bCs/>
                <w:color w:val="000000" w:themeColor="dark1"/>
                <w:kern w:val="24"/>
                <w:lang w:val="en-US" w:eastAsia="zh-CN"/>
              </w:rPr>
              <w:t xml:space="preserve"> dB</w:t>
            </w:r>
          </w:p>
        </w:tc>
        <w:tc>
          <w:tcPr>
            <w:tcW w:w="2666" w:type="dxa"/>
            <w:hideMark/>
          </w:tcPr>
          <w:p w14:paraId="2C1827D7" w14:textId="7739EFC4" w:rsidR="009B3DEA" w:rsidRDefault="00D3073F" w:rsidP="00B315FF">
            <w:pPr>
              <w:spacing w:after="0"/>
              <w:jc w:val="center"/>
              <w:rPr>
                <w:rFonts w:eastAsia="Times New Roman"/>
                <w:b/>
                <w:bCs/>
                <w:color w:val="000000" w:themeColor="dark1"/>
                <w:kern w:val="24"/>
                <w:lang w:val="en-US" w:eastAsia="zh-CN"/>
              </w:rPr>
            </w:pPr>
            <w:r w:rsidRPr="00264161">
              <w:rPr>
                <w:rFonts w:eastAsia="Times New Roman"/>
                <w:b/>
                <w:bCs/>
                <w:color w:val="000000" w:themeColor="dark1"/>
                <w:kern w:val="24"/>
                <w:lang w:val="en-US" w:eastAsia="zh-CN"/>
              </w:rPr>
              <w:t>RSIC = 10</w:t>
            </w:r>
            <w:r w:rsidR="00A7331C">
              <w:rPr>
                <w:rFonts w:eastAsia="Times New Roman"/>
                <w:b/>
                <w:bCs/>
                <w:color w:val="000000" w:themeColor="dark1"/>
                <w:kern w:val="24"/>
                <w:lang w:val="en-US" w:eastAsia="zh-CN"/>
              </w:rPr>
              <w:t>6</w:t>
            </w:r>
            <w:r w:rsidRPr="00264161">
              <w:rPr>
                <w:rFonts w:eastAsia="Times New Roman"/>
                <w:b/>
                <w:bCs/>
                <w:color w:val="000000" w:themeColor="dark1"/>
                <w:kern w:val="24"/>
                <w:lang w:val="en-US" w:eastAsia="zh-CN"/>
              </w:rPr>
              <w:t xml:space="preserve"> dB, </w:t>
            </w:r>
          </w:p>
          <w:p w14:paraId="597CE605" w14:textId="040832B5" w:rsidR="00D3073F" w:rsidRPr="00264161" w:rsidRDefault="00D3073F" w:rsidP="00B315FF">
            <w:pPr>
              <w:spacing w:after="0"/>
              <w:jc w:val="center"/>
              <w:rPr>
                <w:rFonts w:eastAsia="Times New Roman"/>
                <w:lang w:val="en-US" w:eastAsia="zh-CN"/>
              </w:rPr>
            </w:pPr>
            <w:r w:rsidRPr="00264161">
              <w:rPr>
                <w:rFonts w:eastAsia="Times New Roman"/>
                <w:b/>
                <w:bCs/>
                <w:color w:val="000000" w:themeColor="dark1"/>
                <w:kern w:val="24"/>
                <w:lang w:val="en-US" w:eastAsia="zh-CN"/>
              </w:rPr>
              <w:t>RCIC = 1</w:t>
            </w:r>
            <w:r w:rsidR="00A7331C">
              <w:rPr>
                <w:rFonts w:eastAsia="Times New Roman"/>
                <w:b/>
                <w:bCs/>
                <w:color w:val="000000" w:themeColor="dark1"/>
                <w:kern w:val="24"/>
                <w:lang w:val="en-US" w:eastAsia="zh-CN"/>
              </w:rPr>
              <w:t>10</w:t>
            </w:r>
            <w:r w:rsidRPr="00264161">
              <w:rPr>
                <w:rFonts w:eastAsia="Times New Roman"/>
                <w:b/>
                <w:bCs/>
                <w:color w:val="000000" w:themeColor="dark1"/>
                <w:kern w:val="24"/>
                <w:lang w:val="en-US" w:eastAsia="zh-CN"/>
              </w:rPr>
              <w:t xml:space="preserve"> dB</w:t>
            </w:r>
          </w:p>
        </w:tc>
      </w:tr>
      <w:tr w:rsidR="00D3073F" w:rsidRPr="00264161" w14:paraId="672F6ECD" w14:textId="77777777" w:rsidTr="00BE2324">
        <w:trPr>
          <w:trHeight w:val="18"/>
          <w:jc w:val="center"/>
        </w:trPr>
        <w:tc>
          <w:tcPr>
            <w:tcW w:w="600" w:type="dxa"/>
            <w:hideMark/>
          </w:tcPr>
          <w:p w14:paraId="06DEE761" w14:textId="77777777" w:rsidR="00D3073F" w:rsidRPr="00264161" w:rsidRDefault="00D3073F" w:rsidP="00B315FF">
            <w:pPr>
              <w:spacing w:after="0"/>
              <w:jc w:val="center"/>
              <w:rPr>
                <w:rFonts w:eastAsia="Times New Roman"/>
                <w:lang w:val="en-US" w:eastAsia="zh-CN"/>
              </w:rPr>
            </w:pPr>
            <w:r w:rsidRPr="00264161">
              <w:rPr>
                <w:rFonts w:eastAsia="Times New Roman"/>
                <w:b/>
                <w:bCs/>
                <w:color w:val="000000" w:themeColor="dark1"/>
                <w:kern w:val="24"/>
                <w:lang w:val="en-US" w:eastAsia="zh-CN"/>
              </w:rPr>
              <w:t>DL</w:t>
            </w:r>
          </w:p>
        </w:tc>
        <w:tc>
          <w:tcPr>
            <w:tcW w:w="1435" w:type="dxa"/>
            <w:hideMark/>
          </w:tcPr>
          <w:p w14:paraId="305F29D0" w14:textId="679A58AC" w:rsidR="00D3073F" w:rsidRPr="00264161" w:rsidRDefault="00D3073F" w:rsidP="00BE2324">
            <w:pPr>
              <w:spacing w:after="0"/>
              <w:jc w:val="center"/>
              <w:textAlignment w:val="bottom"/>
              <w:rPr>
                <w:rFonts w:eastAsia="Times New Roman"/>
                <w:lang w:val="en-US" w:eastAsia="zh-CN"/>
              </w:rPr>
            </w:pPr>
            <w:r>
              <w:rPr>
                <w:rFonts w:eastAsia="Times New Roman"/>
                <w:color w:val="000000"/>
                <w:kern w:val="24"/>
                <w:lang w:val="en-US" w:eastAsia="zh-CN"/>
              </w:rPr>
              <w:t>3</w:t>
            </w:r>
            <w:r w:rsidRPr="00264161">
              <w:rPr>
                <w:rFonts w:eastAsia="Times New Roman"/>
                <w:color w:val="000000"/>
                <w:kern w:val="24"/>
                <w:lang w:val="en-US" w:eastAsia="zh-CN"/>
              </w:rPr>
              <w:t>.</w:t>
            </w:r>
            <w:r>
              <w:rPr>
                <w:rFonts w:eastAsia="Times New Roman"/>
                <w:color w:val="000000"/>
                <w:kern w:val="24"/>
                <w:lang w:val="en-US" w:eastAsia="zh-CN"/>
              </w:rPr>
              <w:t>26</w:t>
            </w:r>
          </w:p>
        </w:tc>
        <w:tc>
          <w:tcPr>
            <w:tcW w:w="1862" w:type="dxa"/>
            <w:hideMark/>
          </w:tcPr>
          <w:p w14:paraId="4DD3E588" w14:textId="6CFD5885" w:rsidR="00D3073F" w:rsidRPr="00264161" w:rsidRDefault="00D3073F" w:rsidP="00B315FF">
            <w:pPr>
              <w:spacing w:after="0"/>
              <w:jc w:val="center"/>
              <w:textAlignment w:val="bottom"/>
              <w:rPr>
                <w:rFonts w:eastAsia="Times New Roman"/>
                <w:lang w:val="en-US" w:eastAsia="zh-CN"/>
              </w:rPr>
            </w:pPr>
            <w:r>
              <w:rPr>
                <w:rFonts w:eastAsia="Times New Roman"/>
                <w:color w:val="000000"/>
                <w:kern w:val="24"/>
                <w:lang w:val="en-US" w:eastAsia="zh-CN"/>
              </w:rPr>
              <w:t>2</w:t>
            </w:r>
            <w:r w:rsidRPr="00264161">
              <w:rPr>
                <w:rFonts w:eastAsia="Times New Roman"/>
                <w:color w:val="000000"/>
                <w:kern w:val="24"/>
                <w:lang w:val="en-US" w:eastAsia="zh-CN"/>
              </w:rPr>
              <w:t>.</w:t>
            </w:r>
            <w:r>
              <w:rPr>
                <w:rFonts w:eastAsia="Times New Roman"/>
                <w:color w:val="000000"/>
                <w:kern w:val="24"/>
                <w:lang w:val="en-US" w:eastAsia="zh-CN"/>
              </w:rPr>
              <w:t>69</w:t>
            </w:r>
          </w:p>
        </w:tc>
        <w:tc>
          <w:tcPr>
            <w:tcW w:w="1796" w:type="dxa"/>
            <w:hideMark/>
          </w:tcPr>
          <w:p w14:paraId="4B3DBFDA" w14:textId="4E8475A1" w:rsidR="00D3073F" w:rsidRPr="00264161" w:rsidRDefault="00BE2324" w:rsidP="00B315FF">
            <w:pPr>
              <w:spacing w:after="0"/>
              <w:jc w:val="center"/>
              <w:textAlignment w:val="bottom"/>
              <w:rPr>
                <w:rFonts w:eastAsia="Times New Roman"/>
                <w:lang w:val="en-US" w:eastAsia="zh-CN"/>
              </w:rPr>
            </w:pPr>
            <w:r>
              <w:rPr>
                <w:rFonts w:eastAsia="Times New Roman"/>
                <w:color w:val="000000"/>
                <w:kern w:val="24"/>
                <w:lang w:val="en-US" w:eastAsia="zh-CN"/>
              </w:rPr>
              <w:t>2</w:t>
            </w:r>
            <w:r w:rsidR="00D3073F" w:rsidRPr="00264161">
              <w:rPr>
                <w:rFonts w:eastAsia="Times New Roman"/>
                <w:color w:val="000000"/>
                <w:kern w:val="24"/>
                <w:lang w:val="en-US" w:eastAsia="zh-CN"/>
              </w:rPr>
              <w:t>.</w:t>
            </w:r>
            <w:r>
              <w:rPr>
                <w:rFonts w:eastAsia="Times New Roman"/>
                <w:color w:val="000000"/>
                <w:kern w:val="24"/>
                <w:lang w:val="en-US" w:eastAsia="zh-CN"/>
              </w:rPr>
              <w:t>61</w:t>
            </w:r>
          </w:p>
        </w:tc>
        <w:tc>
          <w:tcPr>
            <w:tcW w:w="2666" w:type="dxa"/>
            <w:hideMark/>
          </w:tcPr>
          <w:p w14:paraId="1AF5EA6F" w14:textId="05BA9E9B" w:rsidR="00D3073F" w:rsidRPr="00264161" w:rsidRDefault="009B3DEA" w:rsidP="00B315FF">
            <w:pPr>
              <w:spacing w:after="0"/>
              <w:jc w:val="center"/>
              <w:textAlignment w:val="bottom"/>
              <w:rPr>
                <w:rFonts w:eastAsia="Times New Roman"/>
                <w:lang w:val="en-US" w:eastAsia="zh-CN"/>
              </w:rPr>
            </w:pPr>
            <w:r>
              <w:rPr>
                <w:rFonts w:eastAsia="Times New Roman"/>
                <w:color w:val="000000"/>
                <w:kern w:val="24"/>
                <w:lang w:val="en-US" w:eastAsia="zh-CN"/>
              </w:rPr>
              <w:t>2</w:t>
            </w:r>
            <w:r w:rsidR="00D3073F" w:rsidRPr="00264161">
              <w:rPr>
                <w:rFonts w:eastAsia="Times New Roman"/>
                <w:color w:val="000000"/>
                <w:kern w:val="24"/>
                <w:lang w:val="en-US" w:eastAsia="zh-CN"/>
              </w:rPr>
              <w:t>.</w:t>
            </w:r>
            <w:r>
              <w:rPr>
                <w:rFonts w:eastAsia="Times New Roman"/>
                <w:color w:val="000000"/>
                <w:kern w:val="24"/>
                <w:lang w:val="en-US" w:eastAsia="zh-CN"/>
              </w:rPr>
              <w:t>66</w:t>
            </w:r>
          </w:p>
        </w:tc>
      </w:tr>
      <w:tr w:rsidR="00D3073F" w:rsidRPr="00264161" w14:paraId="2C39E37D" w14:textId="77777777" w:rsidTr="00BE2324">
        <w:trPr>
          <w:cnfStyle w:val="000000100000" w:firstRow="0" w:lastRow="0" w:firstColumn="0" w:lastColumn="0" w:oddVBand="0" w:evenVBand="0" w:oddHBand="1" w:evenHBand="0" w:firstRowFirstColumn="0" w:firstRowLastColumn="0" w:lastRowFirstColumn="0" w:lastRowLastColumn="0"/>
          <w:trHeight w:val="60"/>
          <w:jc w:val="center"/>
        </w:trPr>
        <w:tc>
          <w:tcPr>
            <w:tcW w:w="600" w:type="dxa"/>
            <w:hideMark/>
          </w:tcPr>
          <w:p w14:paraId="21BA9D72" w14:textId="77777777" w:rsidR="00D3073F" w:rsidRPr="00264161" w:rsidRDefault="00D3073F" w:rsidP="00B315FF">
            <w:pPr>
              <w:spacing w:after="0"/>
              <w:jc w:val="center"/>
              <w:rPr>
                <w:rFonts w:eastAsia="Times New Roman"/>
                <w:lang w:val="en-US" w:eastAsia="zh-CN"/>
              </w:rPr>
            </w:pPr>
            <w:r w:rsidRPr="00264161">
              <w:rPr>
                <w:rFonts w:eastAsia="Times New Roman"/>
                <w:b/>
                <w:bCs/>
                <w:color w:val="000000" w:themeColor="dark1"/>
                <w:kern w:val="24"/>
                <w:lang w:val="en-US" w:eastAsia="zh-CN"/>
              </w:rPr>
              <w:t>UL</w:t>
            </w:r>
          </w:p>
        </w:tc>
        <w:tc>
          <w:tcPr>
            <w:tcW w:w="1435" w:type="dxa"/>
            <w:hideMark/>
          </w:tcPr>
          <w:p w14:paraId="0F36D245" w14:textId="2041DAAA" w:rsidR="00D3073F" w:rsidRPr="00264161" w:rsidRDefault="009B3DEA" w:rsidP="00BE2324">
            <w:pPr>
              <w:spacing w:after="0"/>
              <w:jc w:val="center"/>
              <w:textAlignment w:val="bottom"/>
              <w:rPr>
                <w:rFonts w:eastAsia="Times New Roman"/>
                <w:lang w:val="en-US" w:eastAsia="zh-CN"/>
              </w:rPr>
            </w:pPr>
            <w:r>
              <w:rPr>
                <w:rFonts w:eastAsia="Times New Roman"/>
                <w:color w:val="000000"/>
                <w:kern w:val="24"/>
                <w:lang w:val="en-US" w:eastAsia="zh-CN"/>
              </w:rPr>
              <w:t>1</w:t>
            </w:r>
            <w:r w:rsidR="00D3073F" w:rsidRPr="00264161">
              <w:rPr>
                <w:rFonts w:eastAsia="Times New Roman"/>
                <w:color w:val="000000"/>
                <w:kern w:val="24"/>
                <w:lang w:val="en-US" w:eastAsia="zh-CN"/>
              </w:rPr>
              <w:t>.</w:t>
            </w:r>
            <w:r>
              <w:rPr>
                <w:rFonts w:eastAsia="Times New Roman"/>
                <w:color w:val="000000"/>
                <w:kern w:val="24"/>
                <w:lang w:val="en-US" w:eastAsia="zh-CN"/>
              </w:rPr>
              <w:t>46</w:t>
            </w:r>
          </w:p>
        </w:tc>
        <w:tc>
          <w:tcPr>
            <w:tcW w:w="1862" w:type="dxa"/>
            <w:hideMark/>
          </w:tcPr>
          <w:p w14:paraId="452D48DA" w14:textId="6005B248" w:rsidR="00D3073F" w:rsidRPr="00264161" w:rsidRDefault="009B3DEA" w:rsidP="00B315FF">
            <w:pPr>
              <w:spacing w:after="0"/>
              <w:jc w:val="center"/>
              <w:textAlignment w:val="bottom"/>
              <w:rPr>
                <w:rFonts w:eastAsia="Times New Roman"/>
                <w:lang w:val="en-US" w:eastAsia="zh-CN"/>
              </w:rPr>
            </w:pPr>
            <w:r>
              <w:rPr>
                <w:rFonts w:eastAsia="Times New Roman"/>
                <w:color w:val="000000"/>
                <w:kern w:val="24"/>
                <w:lang w:val="en-US" w:eastAsia="zh-CN"/>
              </w:rPr>
              <w:t>1</w:t>
            </w:r>
            <w:r w:rsidR="00D3073F" w:rsidRPr="00264161">
              <w:rPr>
                <w:rFonts w:eastAsia="Times New Roman"/>
                <w:color w:val="000000"/>
                <w:kern w:val="24"/>
                <w:lang w:val="en-US" w:eastAsia="zh-CN"/>
              </w:rPr>
              <w:t>.</w:t>
            </w:r>
            <w:r>
              <w:rPr>
                <w:rFonts w:eastAsia="Times New Roman"/>
                <w:color w:val="000000"/>
                <w:kern w:val="24"/>
                <w:lang w:val="en-US" w:eastAsia="zh-CN"/>
              </w:rPr>
              <w:t>41</w:t>
            </w:r>
          </w:p>
        </w:tc>
        <w:tc>
          <w:tcPr>
            <w:tcW w:w="1796" w:type="dxa"/>
            <w:hideMark/>
          </w:tcPr>
          <w:p w14:paraId="35A30611" w14:textId="7E33B08E" w:rsidR="00D3073F" w:rsidRPr="00264161" w:rsidRDefault="00BE2324" w:rsidP="00B315FF">
            <w:pPr>
              <w:spacing w:after="0"/>
              <w:jc w:val="center"/>
              <w:textAlignment w:val="bottom"/>
              <w:rPr>
                <w:rFonts w:eastAsia="Times New Roman"/>
                <w:lang w:val="en-US" w:eastAsia="zh-CN"/>
              </w:rPr>
            </w:pPr>
            <w:r>
              <w:rPr>
                <w:rFonts w:eastAsia="Times New Roman"/>
                <w:lang w:val="en-US" w:eastAsia="zh-CN"/>
              </w:rPr>
              <w:t>0.75</w:t>
            </w:r>
          </w:p>
        </w:tc>
        <w:tc>
          <w:tcPr>
            <w:tcW w:w="2666" w:type="dxa"/>
            <w:hideMark/>
          </w:tcPr>
          <w:p w14:paraId="4A2C9AC2" w14:textId="65415347" w:rsidR="00D3073F" w:rsidRPr="00264161" w:rsidRDefault="009B3DEA" w:rsidP="00B315FF">
            <w:pPr>
              <w:spacing w:after="0"/>
              <w:jc w:val="center"/>
              <w:textAlignment w:val="bottom"/>
              <w:rPr>
                <w:rFonts w:eastAsia="Times New Roman"/>
                <w:lang w:val="en-US" w:eastAsia="zh-CN"/>
              </w:rPr>
            </w:pPr>
            <w:r>
              <w:rPr>
                <w:rFonts w:eastAsia="Times New Roman"/>
                <w:color w:val="000000"/>
                <w:kern w:val="24"/>
                <w:lang w:val="en-US" w:eastAsia="zh-CN"/>
              </w:rPr>
              <w:t>1</w:t>
            </w:r>
            <w:r w:rsidR="00D3073F" w:rsidRPr="00264161">
              <w:rPr>
                <w:rFonts w:eastAsia="Times New Roman"/>
                <w:color w:val="000000"/>
                <w:kern w:val="24"/>
                <w:lang w:val="en-US" w:eastAsia="zh-CN"/>
              </w:rPr>
              <w:t>.</w:t>
            </w:r>
            <w:r>
              <w:rPr>
                <w:rFonts w:eastAsia="Times New Roman"/>
                <w:color w:val="000000"/>
                <w:kern w:val="24"/>
                <w:lang w:val="en-US" w:eastAsia="zh-CN"/>
              </w:rPr>
              <w:t>42</w:t>
            </w:r>
          </w:p>
        </w:tc>
      </w:tr>
    </w:tbl>
    <w:p w14:paraId="337585C7" w14:textId="3E99E887" w:rsidR="00F969EE" w:rsidRDefault="00F969EE" w:rsidP="00EC03D5">
      <w:pPr>
        <w:spacing w:after="120"/>
        <w:jc w:val="both"/>
        <w:rPr>
          <w:rStyle w:val="ui-provider"/>
        </w:rPr>
      </w:pPr>
    </w:p>
    <w:p w14:paraId="4517F243" w14:textId="423BAF0B" w:rsidR="004538E8" w:rsidRDefault="00F630E9" w:rsidP="00FF04FB">
      <w:pPr>
        <w:spacing w:after="120"/>
        <w:jc w:val="center"/>
        <w:rPr>
          <w:rStyle w:val="ui-provider"/>
        </w:rPr>
      </w:pPr>
      <w:r>
        <w:rPr>
          <w:rStyle w:val="ui-provider"/>
          <w:noProof/>
        </w:rPr>
        <w:drawing>
          <wp:inline distT="0" distB="0" distL="0" distR="0" wp14:anchorId="711558C3" wp14:editId="32C43117">
            <wp:extent cx="3448050" cy="1879719"/>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5052" cy="1888988"/>
                    </a:xfrm>
                    <a:prstGeom prst="rect">
                      <a:avLst/>
                    </a:prstGeom>
                    <a:noFill/>
                  </pic:spPr>
                </pic:pic>
              </a:graphicData>
            </a:graphic>
          </wp:inline>
        </w:drawing>
      </w:r>
    </w:p>
    <w:p w14:paraId="17120130" w14:textId="5D3A1C24" w:rsidR="00261856" w:rsidRDefault="003E5CCF" w:rsidP="007101B0">
      <w:pPr>
        <w:spacing w:after="120"/>
        <w:jc w:val="center"/>
        <w:rPr>
          <w:rStyle w:val="ui-provider"/>
        </w:rPr>
      </w:pPr>
      <w:bookmarkStart w:id="13" w:name="_Ref134781951"/>
      <w:r>
        <w:t xml:space="preserve">Figure </w:t>
      </w:r>
      <w:r>
        <w:fldChar w:fldCharType="begin"/>
      </w:r>
      <w:r>
        <w:instrText xml:space="preserve"> SEQ Figure \* ARABIC </w:instrText>
      </w:r>
      <w:r>
        <w:fldChar w:fldCharType="separate"/>
      </w:r>
      <w:r w:rsidR="006411F6">
        <w:rPr>
          <w:noProof/>
        </w:rPr>
        <w:t>4</w:t>
      </w:r>
      <w:r>
        <w:fldChar w:fldCharType="end"/>
      </w:r>
      <w:bookmarkEnd w:id="13"/>
      <w:r>
        <w:t>:</w:t>
      </w:r>
      <w:r w:rsidR="007101B0">
        <w:rPr>
          <w:rStyle w:val="ui-provider"/>
        </w:rPr>
        <w:t xml:space="preserve"> </w:t>
      </w:r>
      <w:r w:rsidR="00F630E9">
        <w:rPr>
          <w:rStyle w:val="ui-provider"/>
        </w:rPr>
        <w:t xml:space="preserve">UL </w:t>
      </w:r>
      <w:r w:rsidR="007101B0">
        <w:rPr>
          <w:rStyle w:val="ui-provider"/>
        </w:rPr>
        <w:t xml:space="preserve">Spectral Efficiency loss </w:t>
      </w:r>
      <w:r w:rsidR="00705E0C">
        <w:rPr>
          <w:rStyle w:val="ui-provider"/>
        </w:rPr>
        <w:t>comparison</w:t>
      </w:r>
    </w:p>
    <w:p w14:paraId="418F729B" w14:textId="297640B8" w:rsidR="00C36B71" w:rsidRDefault="00000738" w:rsidP="005E128D">
      <w:pPr>
        <w:spacing w:after="120"/>
        <w:jc w:val="both"/>
        <w:rPr>
          <w:rStyle w:val="ui-provide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6</w:t>
      </w:r>
      <w:r w:rsidRPr="00EF4B7B">
        <w:rPr>
          <w:b/>
          <w:bCs/>
          <w:i/>
          <w:iCs/>
        </w:rPr>
        <w:fldChar w:fldCharType="end"/>
      </w:r>
      <w:r w:rsidRPr="00EF4B7B">
        <w:t xml:space="preserve">: </w:t>
      </w:r>
      <w:bookmarkStart w:id="14" w:name="_Ref134784104"/>
      <w:r w:rsidRPr="00ED4793">
        <w:rPr>
          <w:b/>
          <w:i/>
          <w:lang w:eastAsia="ko-KR"/>
        </w:rPr>
        <w:t>Intra-site isolation has a major influence on UL performance</w:t>
      </w:r>
      <w:bookmarkEnd w:id="14"/>
    </w:p>
    <w:p w14:paraId="73D92F48" w14:textId="725FC561" w:rsidR="0091268A" w:rsidRPr="00A7068E" w:rsidRDefault="0091268A" w:rsidP="0091268A">
      <w:pPr>
        <w:pStyle w:val="Heading1"/>
        <w:rPr>
          <w:rStyle w:val="ui-provider"/>
        </w:rPr>
      </w:pPr>
      <w:r w:rsidRPr="00A7068E">
        <w:rPr>
          <w:rStyle w:val="ui-provider"/>
        </w:rPr>
        <w:t>CSI Reporting Evaluation Results</w:t>
      </w:r>
    </w:p>
    <w:p w14:paraId="201C2FD9" w14:textId="0DD6B797" w:rsidR="006C548B" w:rsidRDefault="006C548B" w:rsidP="0091268A">
      <w:pPr>
        <w:spacing w:after="0"/>
        <w:jc w:val="both"/>
        <w:rPr>
          <w:rFonts w:eastAsia="Malgun Gothic"/>
        </w:rPr>
      </w:pPr>
      <w:r>
        <w:rPr>
          <w:rStyle w:val="ui-provider"/>
        </w:rPr>
        <w:t xml:space="preserve">In RAN1#112, </w:t>
      </w:r>
      <w:r w:rsidRPr="00397FE2">
        <w:t>two CSI reporting options wa</w:t>
      </w:r>
      <w:r>
        <w:t>re</w:t>
      </w:r>
      <w:r w:rsidRPr="00397FE2">
        <w:t xml:space="preserve"> agreed to be studied for CSI reports associated with periodic/semi-persistent CSI-RS </w:t>
      </w:r>
      <w:r w:rsidRPr="00397FE2">
        <w:rPr>
          <w:rFonts w:eastAsia="Malgun Gothic"/>
        </w:rPr>
        <w:t>across SBFD and non-SBFD slots</w:t>
      </w:r>
      <w:r>
        <w:rPr>
          <w:rFonts w:eastAsia="Malgun Gothic"/>
        </w:rPr>
        <w:t>/</w:t>
      </w:r>
      <w:r w:rsidRPr="00397FE2">
        <w:rPr>
          <w:rFonts w:eastAsia="Malgun Gothic"/>
        </w:rPr>
        <w:t>symbols.</w:t>
      </w:r>
    </w:p>
    <w:p w14:paraId="21BE2A28" w14:textId="1763F3EF" w:rsidR="00CA12F6" w:rsidRDefault="00CA12F6" w:rsidP="0091268A">
      <w:pPr>
        <w:spacing w:after="0"/>
        <w:jc w:val="both"/>
        <w:rPr>
          <w:rFonts w:eastAsia="Malgun Gothic"/>
        </w:rPr>
      </w:pPr>
    </w:p>
    <w:tbl>
      <w:tblPr>
        <w:tblStyle w:val="TableGrid"/>
        <w:tblW w:w="9060" w:type="dxa"/>
        <w:tblLook w:val="04A0" w:firstRow="1" w:lastRow="0" w:firstColumn="1" w:lastColumn="0" w:noHBand="0" w:noVBand="1"/>
      </w:tblPr>
      <w:tblGrid>
        <w:gridCol w:w="9060"/>
      </w:tblGrid>
      <w:tr w:rsidR="00CA12F6" w14:paraId="43C3DAD9" w14:textId="77777777" w:rsidTr="000A32B6">
        <w:trPr>
          <w:trHeight w:val="459"/>
        </w:trPr>
        <w:tc>
          <w:tcPr>
            <w:tcW w:w="9060" w:type="dxa"/>
          </w:tcPr>
          <w:p w14:paraId="708FE0EB" w14:textId="77777777" w:rsidR="00CA12F6" w:rsidRPr="00630E70" w:rsidRDefault="00CA12F6" w:rsidP="000A32B6">
            <w:pPr>
              <w:spacing w:after="0"/>
              <w:rPr>
                <w:rFonts w:eastAsia="Malgun Gothic"/>
                <w:b/>
              </w:rPr>
            </w:pPr>
            <w:r w:rsidRPr="00630E70">
              <w:rPr>
                <w:rFonts w:eastAsia="Malgun Gothic"/>
                <w:b/>
              </w:rPr>
              <w:t>Agreement:</w:t>
            </w:r>
          </w:p>
          <w:p w14:paraId="5AB49001" w14:textId="77777777" w:rsidR="00CA12F6" w:rsidRDefault="00CA12F6" w:rsidP="000A32B6">
            <w:pPr>
              <w:spacing w:after="0"/>
              <w:rPr>
                <w:rFonts w:eastAsia="Malgun Gothic"/>
              </w:rPr>
            </w:pPr>
            <w:r>
              <w:rPr>
                <w:rFonts w:eastAsia="Malgun Gothic"/>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C056149" w14:textId="77777777" w:rsidR="00CA12F6" w:rsidRDefault="00CA12F6" w:rsidP="000A32B6">
            <w:pPr>
              <w:numPr>
                <w:ilvl w:val="1"/>
                <w:numId w:val="12"/>
              </w:numPr>
              <w:suppressAutoHyphens/>
              <w:spacing w:after="0" w:line="259" w:lineRule="auto"/>
              <w:jc w:val="both"/>
              <w:rPr>
                <w:rFonts w:eastAsia="Malgun Gothic"/>
              </w:rPr>
            </w:pPr>
            <w:r>
              <w:rPr>
                <w:rFonts w:eastAsia="Malgun Gothic"/>
              </w:rPr>
              <w:t>Option 1: separate CSI reporting for SBFD symbols and non-SBFD symbols</w:t>
            </w:r>
          </w:p>
          <w:p w14:paraId="13B938C7" w14:textId="21AA6226" w:rsidR="00CA12F6" w:rsidRPr="00CA12F6" w:rsidRDefault="00CA12F6" w:rsidP="000A32B6">
            <w:pPr>
              <w:numPr>
                <w:ilvl w:val="1"/>
                <w:numId w:val="12"/>
              </w:numPr>
              <w:suppressAutoHyphens/>
              <w:spacing w:after="0" w:line="259" w:lineRule="auto"/>
              <w:jc w:val="both"/>
              <w:rPr>
                <w:rFonts w:eastAsia="Malgun Gothic"/>
              </w:rPr>
            </w:pPr>
            <w:r>
              <w:rPr>
                <w:rFonts w:eastAsia="Malgun Gothic"/>
              </w:rPr>
              <w:t>Option 2: same CSI reporting for SBFD symbols and non-SBFD symbols</w:t>
            </w:r>
          </w:p>
        </w:tc>
      </w:tr>
    </w:tbl>
    <w:p w14:paraId="7091E286" w14:textId="06A553A3" w:rsidR="00CA12F6" w:rsidRDefault="00CA12F6" w:rsidP="0091268A">
      <w:pPr>
        <w:spacing w:after="0"/>
        <w:jc w:val="both"/>
        <w:rPr>
          <w:rStyle w:val="ui-provider"/>
        </w:rPr>
      </w:pPr>
    </w:p>
    <w:p w14:paraId="757DC2F0" w14:textId="7C9B3665" w:rsidR="00CA12F6" w:rsidRDefault="00CA12F6" w:rsidP="00D63416">
      <w:pPr>
        <w:spacing w:after="0"/>
        <w:jc w:val="both"/>
      </w:pPr>
      <w:r w:rsidRPr="005363D3">
        <w:t>To evaluate the performance of separate CSI</w:t>
      </w:r>
      <w:r>
        <w:t xml:space="preserve"> reporting</w:t>
      </w:r>
      <w:r w:rsidRPr="005363D3">
        <w:t xml:space="preserve"> versus same CSI</w:t>
      </w:r>
      <w:r>
        <w:t xml:space="preserve"> reporting</w:t>
      </w:r>
      <w:r w:rsidRPr="005363D3">
        <w:t>, an analysis</w:t>
      </w:r>
      <w:r>
        <w:t xml:space="preserve"> is</w:t>
      </w:r>
      <w:r w:rsidRPr="005363D3">
        <w:t xml:space="preserve"> conducted based on Deployment Case 1 of SBFD, using the FR1 UMa scenario for comparison. </w:t>
      </w:r>
      <w:r>
        <w:t xml:space="preserve">Both full buffer and FTP3 traffic are considered in the analysis. </w:t>
      </w:r>
    </w:p>
    <w:p w14:paraId="6982C8FC" w14:textId="07EF4FA6" w:rsidR="000F4861" w:rsidRDefault="000F4861" w:rsidP="00D63416">
      <w:pPr>
        <w:pStyle w:val="Heading2"/>
        <w:spacing w:after="0"/>
      </w:pPr>
      <w:r>
        <w:t xml:space="preserve">Full Buffer Traffic </w:t>
      </w:r>
    </w:p>
    <w:p w14:paraId="02CF4FB3" w14:textId="0E971F44" w:rsidR="000F4861" w:rsidRDefault="000F4861" w:rsidP="00D63416">
      <w:pPr>
        <w:pStyle w:val="Heading3"/>
        <w:spacing w:after="0"/>
      </w:pPr>
      <w:r>
        <w:t>SINR and BLER Analysis</w:t>
      </w:r>
    </w:p>
    <w:p w14:paraId="1853D5DF" w14:textId="460A2501" w:rsidR="00DD1182" w:rsidRPr="000F4861" w:rsidRDefault="00DD1182" w:rsidP="00342A7D">
      <w:pPr>
        <w:spacing w:before="240" w:after="120"/>
        <w:jc w:val="both"/>
      </w:pPr>
      <w:r>
        <w:t xml:space="preserve">The SBFD slot configuration ‘DXXXU’ is used for this evaluation. In this SBFD slot configuration, </w:t>
      </w:r>
      <w:r w:rsidRPr="00DE6F4D">
        <w:rPr>
          <w:rStyle w:val="ui-provider"/>
        </w:rPr>
        <w:t>DL resources are distributed across two types of slots: DL-only slots and SBFD slots.</w:t>
      </w:r>
      <w:r>
        <w:rPr>
          <w:rStyle w:val="ui-provider"/>
        </w:rPr>
        <w:t xml:space="preserve"> Note that </w:t>
      </w:r>
      <w:r w:rsidRPr="00DE6F4D">
        <w:rPr>
          <w:rStyle w:val="ui-provider"/>
        </w:rPr>
        <w:t>DL resources on SBFD slots</w:t>
      </w:r>
      <w:r>
        <w:rPr>
          <w:rStyle w:val="ui-provider"/>
        </w:rPr>
        <w:t>/symbols</w:t>
      </w:r>
      <w:r w:rsidRPr="00DE6F4D">
        <w:rPr>
          <w:rStyle w:val="ui-provider"/>
        </w:rPr>
        <w:t xml:space="preserve"> are affected by both CCI and inter-UE CLI</w:t>
      </w:r>
      <w:r>
        <w:rPr>
          <w:rStyle w:val="ui-provider"/>
        </w:rPr>
        <w:t>, whereas DL resources on non-SBFD slots/symbols are affected by only CCI. This motivates the study of slot-specific CSI reporting</w:t>
      </w:r>
      <w:r w:rsidRPr="00DE6F4D">
        <w:rPr>
          <w:rStyle w:val="ui-provider"/>
        </w:rPr>
        <w:t xml:space="preserve">. </w:t>
      </w:r>
      <w:r>
        <w:rPr>
          <w:rStyle w:val="ui-provider"/>
        </w:rPr>
        <w:t xml:space="preserve">The need for separate CSI reporting will be especially </w:t>
      </w:r>
      <w:r w:rsidR="00D46EB8">
        <w:rPr>
          <w:rStyle w:val="ui-provider"/>
        </w:rPr>
        <w:t>high</w:t>
      </w:r>
      <w:r>
        <w:rPr>
          <w:rStyle w:val="ui-provider"/>
        </w:rPr>
        <w:t xml:space="preserve"> in clustered UE scenarios where </w:t>
      </w:r>
      <w:r w:rsidRPr="00DE6F4D">
        <w:rPr>
          <w:rStyle w:val="ui-provider"/>
        </w:rPr>
        <w:t>CLI tends to dominate over CCI</w:t>
      </w:r>
      <w:r>
        <w:rPr>
          <w:rStyle w:val="ui-provider"/>
        </w:rPr>
        <w:t xml:space="preserve">. </w:t>
      </w:r>
    </w:p>
    <w:p w14:paraId="012AB40D" w14:textId="1EBD74B9" w:rsidR="00847737" w:rsidRDefault="00847737" w:rsidP="00342A7D">
      <w:pPr>
        <w:spacing w:after="120"/>
        <w:jc w:val="both"/>
        <w:rPr>
          <w:rStyle w:val="ui-provider"/>
        </w:rPr>
      </w:pPr>
      <w:r>
        <w:rPr>
          <w:rStyle w:val="ui-provider"/>
        </w:rPr>
        <w:t xml:space="preserve">In </w:t>
      </w:r>
      <w:r w:rsidR="00BE3472">
        <w:rPr>
          <w:rStyle w:val="ui-provider"/>
        </w:rPr>
        <w:fldChar w:fldCharType="begin"/>
      </w:r>
      <w:r w:rsidR="00BE3472">
        <w:rPr>
          <w:rStyle w:val="ui-provider"/>
        </w:rPr>
        <w:instrText xml:space="preserve"> REF _Ref134782160 \h </w:instrText>
      </w:r>
      <w:r w:rsidR="00BE3472">
        <w:rPr>
          <w:rStyle w:val="ui-provider"/>
        </w:rPr>
      </w:r>
      <w:r w:rsidR="00BE3472">
        <w:rPr>
          <w:rStyle w:val="ui-provider"/>
        </w:rPr>
        <w:fldChar w:fldCharType="separate"/>
      </w:r>
      <w:r w:rsidR="006411F6">
        <w:t xml:space="preserve">Figure </w:t>
      </w:r>
      <w:r w:rsidR="006411F6">
        <w:rPr>
          <w:noProof/>
        </w:rPr>
        <w:t>5</w:t>
      </w:r>
      <w:r w:rsidR="00BE3472">
        <w:rPr>
          <w:rStyle w:val="ui-provider"/>
        </w:rPr>
        <w:fldChar w:fldCharType="end"/>
      </w:r>
      <w:r w:rsidR="00F9170D">
        <w:rPr>
          <w:rStyle w:val="ui-provider"/>
        </w:rPr>
        <w:t xml:space="preserve"> (a)</w:t>
      </w:r>
      <w:r>
        <w:rPr>
          <w:rStyle w:val="ui-provider"/>
        </w:rPr>
        <w:t>, e</w:t>
      </w:r>
      <w:r w:rsidRPr="00DE6F4D">
        <w:rPr>
          <w:rStyle w:val="ui-provider"/>
        </w:rPr>
        <w:t xml:space="preserve">ffective SINR </w:t>
      </w:r>
      <w:r>
        <w:rPr>
          <w:rStyle w:val="ui-provider"/>
        </w:rPr>
        <w:t>is</w:t>
      </w:r>
      <w:r w:rsidRPr="00DE6F4D">
        <w:rPr>
          <w:rStyle w:val="ui-provider"/>
        </w:rPr>
        <w:t xml:space="preserve"> collected separately for</w:t>
      </w:r>
      <w:r w:rsidR="00EB174A">
        <w:rPr>
          <w:rStyle w:val="ui-provider"/>
        </w:rPr>
        <w:t xml:space="preserve"> SBFD</w:t>
      </w:r>
      <w:r w:rsidRPr="00DE6F4D">
        <w:rPr>
          <w:rStyle w:val="ui-provider"/>
        </w:rPr>
        <w:t xml:space="preserve"> and </w:t>
      </w:r>
      <w:r w:rsidR="00EB174A">
        <w:rPr>
          <w:rStyle w:val="ui-provider"/>
        </w:rPr>
        <w:t>non-</w:t>
      </w:r>
      <w:r w:rsidRPr="00DE6F4D">
        <w:rPr>
          <w:rStyle w:val="ui-provider"/>
        </w:rPr>
        <w:t>SBFD slots and compared</w:t>
      </w:r>
      <w:r>
        <w:rPr>
          <w:rStyle w:val="ui-provider"/>
        </w:rPr>
        <w:t xml:space="preserve">. </w:t>
      </w:r>
      <w:r w:rsidRPr="00DE6F4D">
        <w:rPr>
          <w:rStyle w:val="ui-provider"/>
        </w:rPr>
        <w:t xml:space="preserve">As expected, DL-SINR on SBFD slots </w:t>
      </w:r>
      <w:r>
        <w:rPr>
          <w:rStyle w:val="ui-provider"/>
        </w:rPr>
        <w:t>is</w:t>
      </w:r>
      <w:r w:rsidRPr="00DE6F4D">
        <w:rPr>
          <w:rStyle w:val="ui-provider"/>
        </w:rPr>
        <w:t xml:space="preserve"> lower than that on </w:t>
      </w:r>
      <w:r w:rsidR="00EB174A">
        <w:rPr>
          <w:rStyle w:val="ui-provider"/>
        </w:rPr>
        <w:t>non-SBFD</w:t>
      </w:r>
      <w:r w:rsidRPr="00DE6F4D">
        <w:rPr>
          <w:rStyle w:val="ui-provider"/>
        </w:rPr>
        <w:t xml:space="preserve"> slots. This underscores the importance of separate CSI </w:t>
      </w:r>
      <w:r>
        <w:rPr>
          <w:rStyle w:val="ui-provider"/>
        </w:rPr>
        <w:t xml:space="preserve">reporting </w:t>
      </w:r>
      <w:r w:rsidRPr="00DE6F4D">
        <w:rPr>
          <w:rStyle w:val="ui-provider"/>
        </w:rPr>
        <w:t>and link adaptation</w:t>
      </w:r>
      <w:r w:rsidR="00C918D1">
        <w:rPr>
          <w:rStyle w:val="ui-provider"/>
        </w:rPr>
        <w:t xml:space="preserve"> for</w:t>
      </w:r>
      <w:r w:rsidR="004500C2">
        <w:rPr>
          <w:rStyle w:val="ui-provider"/>
        </w:rPr>
        <w:t xml:space="preserve"> each slot type</w:t>
      </w:r>
      <w:r w:rsidR="00C918D1">
        <w:rPr>
          <w:rStyle w:val="ui-provider"/>
        </w:rPr>
        <w:t xml:space="preserve">. </w:t>
      </w:r>
    </w:p>
    <w:p w14:paraId="1A4D9098" w14:textId="174B4A18" w:rsidR="00F9170D" w:rsidRDefault="0022515A" w:rsidP="00F9170D">
      <w:pPr>
        <w:spacing w:after="120"/>
        <w:jc w:val="center"/>
        <w:rPr>
          <w:rStyle w:val="ui-provider"/>
        </w:rPr>
      </w:pPr>
      <w:r w:rsidRPr="008C1827">
        <w:rPr>
          <w:noProof/>
        </w:rPr>
        <w:lastRenderedPageBreak/>
        <w:drawing>
          <wp:inline distT="0" distB="0" distL="0" distR="0" wp14:anchorId="34C10C84" wp14:editId="6AFD01BE">
            <wp:extent cx="2663190" cy="1912022"/>
            <wp:effectExtent l="0" t="0" r="3810" b="0"/>
            <wp:docPr id="1" name="Content Placeholder 4" descr="A picture containing text, line, diagram, plot&#10;&#10;Description automatically generated">
              <a:extLst xmlns:a="http://schemas.openxmlformats.org/drawingml/2006/main">
                <a:ext uri="{FF2B5EF4-FFF2-40B4-BE49-F238E27FC236}">
                  <a16:creationId xmlns:a16="http://schemas.microsoft.com/office/drawing/2014/main" id="{5F106CA4-0F74-4739-AA5A-AB4D646A0E5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 name="Content Placeholder 4" descr="A picture containing text, line, diagram, plot&#10;&#10;Description automatically generated">
                      <a:extLst>
                        <a:ext uri="{FF2B5EF4-FFF2-40B4-BE49-F238E27FC236}">
                          <a16:creationId xmlns:a16="http://schemas.microsoft.com/office/drawing/2014/main" id="{5F106CA4-0F74-4739-AA5A-AB4D646A0E5A}"/>
                        </a:ext>
                      </a:extLst>
                    </pic:cNvPr>
                    <pic:cNvPicPr>
                      <a:picLocks noGrp="1" noChangeAspect="1"/>
                    </pic:cNvPicPr>
                  </pic:nvPicPr>
                  <pic:blipFill rotWithShape="1">
                    <a:blip r:embed="rId18"/>
                    <a:srcRect t="4038"/>
                    <a:stretch/>
                  </pic:blipFill>
                  <pic:spPr bwMode="auto">
                    <a:xfrm>
                      <a:off x="0" y="0"/>
                      <a:ext cx="2672628" cy="1918798"/>
                    </a:xfrm>
                    <a:prstGeom prst="rect">
                      <a:avLst/>
                    </a:prstGeom>
                    <a:ln>
                      <a:noFill/>
                    </a:ln>
                    <a:extLst>
                      <a:ext uri="{53640926-AAD7-44D8-BBD7-CCE9431645EC}">
                        <a14:shadowObscured xmlns:a14="http://schemas.microsoft.com/office/drawing/2010/main"/>
                      </a:ext>
                    </a:extLst>
                  </pic:spPr>
                </pic:pic>
              </a:graphicData>
            </a:graphic>
          </wp:inline>
        </w:drawing>
      </w:r>
      <w:r w:rsidR="00F9170D" w:rsidRPr="00C330F2">
        <w:rPr>
          <w:noProof/>
        </w:rPr>
        <w:drawing>
          <wp:inline distT="0" distB="0" distL="0" distR="0" wp14:anchorId="5C327594" wp14:editId="772073F1">
            <wp:extent cx="2599690" cy="1859624"/>
            <wp:effectExtent l="0" t="0" r="0" b="7620"/>
            <wp:docPr id="2" name="Content Placeholder 10" descr="A picture containing text, line, diagram, plot&#10;&#10;Description automatically generated">
              <a:extLst xmlns:a="http://schemas.openxmlformats.org/drawingml/2006/main">
                <a:ext uri="{FF2B5EF4-FFF2-40B4-BE49-F238E27FC236}">
                  <a16:creationId xmlns:a16="http://schemas.microsoft.com/office/drawing/2014/main" id="{401797DA-95CC-409D-9AE2-965331107E8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Content Placeholder 10" descr="A picture containing text, line, diagram, plot&#10;&#10;Description automatically generated">
                      <a:extLst>
                        <a:ext uri="{FF2B5EF4-FFF2-40B4-BE49-F238E27FC236}">
                          <a16:creationId xmlns:a16="http://schemas.microsoft.com/office/drawing/2014/main" id="{401797DA-95CC-409D-9AE2-965331107E84}"/>
                        </a:ext>
                      </a:extLst>
                    </pic:cNvPr>
                    <pic:cNvPicPr>
                      <a:picLocks noGrp="1" noChangeAspect="1"/>
                    </pic:cNvPicPr>
                  </pic:nvPicPr>
                  <pic:blipFill rotWithShape="1">
                    <a:blip r:embed="rId19"/>
                    <a:srcRect t="4507"/>
                    <a:stretch/>
                  </pic:blipFill>
                  <pic:spPr bwMode="auto">
                    <a:xfrm>
                      <a:off x="0" y="0"/>
                      <a:ext cx="2627508" cy="1879523"/>
                    </a:xfrm>
                    <a:prstGeom prst="rect">
                      <a:avLst/>
                    </a:prstGeom>
                    <a:ln>
                      <a:noFill/>
                    </a:ln>
                    <a:extLst>
                      <a:ext uri="{53640926-AAD7-44D8-BBD7-CCE9431645EC}">
                        <a14:shadowObscured xmlns:a14="http://schemas.microsoft.com/office/drawing/2010/main"/>
                      </a:ext>
                    </a:extLst>
                  </pic:spPr>
                </pic:pic>
              </a:graphicData>
            </a:graphic>
          </wp:inline>
        </w:drawing>
      </w:r>
    </w:p>
    <w:p w14:paraId="355F2786" w14:textId="0FE17F29" w:rsidR="00F9170D" w:rsidRDefault="00F9170D" w:rsidP="00F9170D">
      <w:pPr>
        <w:pStyle w:val="ListParagraph"/>
        <w:numPr>
          <w:ilvl w:val="0"/>
          <w:numId w:val="13"/>
        </w:numPr>
        <w:spacing w:after="120"/>
        <w:rPr>
          <w:rStyle w:val="ui-provider"/>
        </w:rPr>
      </w:pPr>
      <w:r>
        <w:rPr>
          <w:rStyle w:val="ui-provider"/>
        </w:rPr>
        <w:t xml:space="preserve">                                                                            (b)</w:t>
      </w:r>
    </w:p>
    <w:p w14:paraId="72C48364" w14:textId="4FEB97A3" w:rsidR="0022515A" w:rsidRDefault="003E5CCF" w:rsidP="00F9170D">
      <w:pPr>
        <w:spacing w:after="120"/>
        <w:jc w:val="center"/>
        <w:rPr>
          <w:rStyle w:val="ui-provider"/>
        </w:rPr>
      </w:pPr>
      <w:bookmarkStart w:id="15" w:name="_Ref134782160"/>
      <w:r>
        <w:t xml:space="preserve">Figure </w:t>
      </w:r>
      <w:r>
        <w:fldChar w:fldCharType="begin"/>
      </w:r>
      <w:r>
        <w:instrText xml:space="preserve"> SEQ Figure \* ARABIC </w:instrText>
      </w:r>
      <w:r>
        <w:fldChar w:fldCharType="separate"/>
      </w:r>
      <w:r w:rsidR="006411F6">
        <w:rPr>
          <w:noProof/>
        </w:rPr>
        <w:t>5</w:t>
      </w:r>
      <w:r>
        <w:fldChar w:fldCharType="end"/>
      </w:r>
      <w:bookmarkEnd w:id="15"/>
      <w:r>
        <w:t>:</w:t>
      </w:r>
      <w:r w:rsidR="0022515A">
        <w:rPr>
          <w:rStyle w:val="ui-provider"/>
        </w:rPr>
        <w:t xml:space="preserve"> </w:t>
      </w:r>
      <w:r w:rsidR="00F9170D">
        <w:rPr>
          <w:rStyle w:val="ui-provider"/>
        </w:rPr>
        <w:t xml:space="preserve">(a) </w:t>
      </w:r>
      <w:r w:rsidR="0022515A">
        <w:rPr>
          <w:rStyle w:val="ui-provider"/>
        </w:rPr>
        <w:t>Effective SINR distribution on DL-only slots and SBFD slots</w:t>
      </w:r>
      <w:r w:rsidR="00F9170D">
        <w:rPr>
          <w:rStyle w:val="ui-provider"/>
        </w:rPr>
        <w:t xml:space="preserve"> (b) DL-BLER performance in SBFD slots</w:t>
      </w:r>
    </w:p>
    <w:p w14:paraId="0FE189CA" w14:textId="442375DC" w:rsidR="00804B3A" w:rsidRDefault="00597310" w:rsidP="00F9170D">
      <w:pPr>
        <w:spacing w:after="120"/>
        <w:jc w:val="both"/>
        <w:rPr>
          <w:rStyle w:val="ui-provider"/>
        </w:rPr>
      </w:pPr>
      <w:r w:rsidRPr="00374EF6">
        <w:rPr>
          <w:rStyle w:val="ui-provider"/>
        </w:rPr>
        <w:t xml:space="preserve">In </w:t>
      </w:r>
      <w:r w:rsidR="009016D0">
        <w:rPr>
          <w:rStyle w:val="ui-provider"/>
        </w:rPr>
        <w:fldChar w:fldCharType="begin"/>
      </w:r>
      <w:r w:rsidR="009016D0">
        <w:rPr>
          <w:rStyle w:val="ui-provider"/>
        </w:rPr>
        <w:instrText xml:space="preserve"> REF _Ref134782160 \h </w:instrText>
      </w:r>
      <w:r w:rsidR="009016D0">
        <w:rPr>
          <w:rStyle w:val="ui-provider"/>
        </w:rPr>
      </w:r>
      <w:r w:rsidR="009016D0">
        <w:rPr>
          <w:rStyle w:val="ui-provider"/>
        </w:rPr>
        <w:fldChar w:fldCharType="separate"/>
      </w:r>
      <w:r w:rsidR="006411F6">
        <w:t xml:space="preserve">Figure </w:t>
      </w:r>
      <w:r w:rsidR="006411F6">
        <w:rPr>
          <w:noProof/>
        </w:rPr>
        <w:t>5</w:t>
      </w:r>
      <w:r w:rsidR="009016D0">
        <w:rPr>
          <w:rStyle w:val="ui-provider"/>
        </w:rPr>
        <w:fldChar w:fldCharType="end"/>
      </w:r>
      <w:r w:rsidR="00F9170D">
        <w:rPr>
          <w:rStyle w:val="ui-provider"/>
        </w:rPr>
        <w:t xml:space="preserve"> (b)</w:t>
      </w:r>
      <w:r w:rsidRPr="00374EF6">
        <w:rPr>
          <w:rStyle w:val="ui-provider"/>
        </w:rPr>
        <w:t>, BLER is compared across SBFD slots with same CSI</w:t>
      </w:r>
      <w:r>
        <w:rPr>
          <w:rStyle w:val="ui-provider"/>
        </w:rPr>
        <w:t xml:space="preserve"> reporting</w:t>
      </w:r>
      <w:r w:rsidRPr="00374EF6">
        <w:rPr>
          <w:rStyle w:val="ui-provider"/>
        </w:rPr>
        <w:t xml:space="preserve"> and separate CSI</w:t>
      </w:r>
      <w:r>
        <w:rPr>
          <w:rStyle w:val="ui-provider"/>
        </w:rPr>
        <w:t xml:space="preserve"> reporting</w:t>
      </w:r>
      <w:r w:rsidRPr="00374EF6">
        <w:rPr>
          <w:rStyle w:val="ui-provider"/>
        </w:rPr>
        <w:t>. This simulation was conducted without outer-loop link adaptation to analyse the impact of separate CSI</w:t>
      </w:r>
      <w:r>
        <w:rPr>
          <w:rStyle w:val="ui-provider"/>
        </w:rPr>
        <w:t xml:space="preserve"> reporting</w:t>
      </w:r>
      <w:r w:rsidRPr="00374EF6">
        <w:rPr>
          <w:rStyle w:val="ui-provider"/>
        </w:rPr>
        <w:t xml:space="preserve"> on the BLER of fresh transmissions. As seen in the figure, separate CSI</w:t>
      </w:r>
      <w:r>
        <w:rPr>
          <w:rStyle w:val="ui-provider"/>
        </w:rPr>
        <w:t xml:space="preserve"> reporting</w:t>
      </w:r>
      <w:r w:rsidRPr="00374EF6">
        <w:rPr>
          <w:rStyle w:val="ui-provider"/>
        </w:rPr>
        <w:t xml:space="preserve"> outperforms same CSI </w:t>
      </w:r>
      <w:r>
        <w:rPr>
          <w:rStyle w:val="ui-provider"/>
        </w:rPr>
        <w:t xml:space="preserve">reporting </w:t>
      </w:r>
      <w:r w:rsidRPr="00374EF6">
        <w:rPr>
          <w:rStyle w:val="ui-provider"/>
        </w:rPr>
        <w:t>in terms of BLER performance.</w:t>
      </w:r>
    </w:p>
    <w:p w14:paraId="5C88B959" w14:textId="43E27238" w:rsidR="009C1A22" w:rsidRPr="009C1A22" w:rsidRDefault="009C1A22" w:rsidP="00F9170D">
      <w:pPr>
        <w:spacing w:after="120"/>
        <w:jc w:val="both"/>
        <w:rPr>
          <w:rStyle w:val="ui-provide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7</w:t>
      </w:r>
      <w:r w:rsidRPr="00EF4B7B">
        <w:rPr>
          <w:b/>
          <w:bCs/>
          <w:i/>
          <w:iCs/>
        </w:rPr>
        <w:fldChar w:fldCharType="end"/>
      </w:r>
      <w:r w:rsidRPr="00EF4B7B">
        <w:t xml:space="preserve">: </w:t>
      </w:r>
      <w:bookmarkStart w:id="16" w:name="_Ref134784267"/>
      <w:r w:rsidR="007C2BA1">
        <w:rPr>
          <w:rFonts w:eastAsia="SimSun"/>
          <w:b/>
          <w:bCs/>
          <w:i/>
          <w:iCs/>
        </w:rPr>
        <w:t>The high level of interference o</w:t>
      </w:r>
      <w:r w:rsidRPr="009C1A22">
        <w:rPr>
          <w:rFonts w:eastAsia="SimSun"/>
          <w:b/>
          <w:bCs/>
          <w:i/>
          <w:iCs/>
          <w:lang w:val="en-US"/>
        </w:rPr>
        <w:t xml:space="preserve">n SBFD slots have a noticeable impact on both effective SINR and BLER performance, underscoring the </w:t>
      </w:r>
      <w:r w:rsidR="00142D90">
        <w:rPr>
          <w:rFonts w:eastAsia="SimSun"/>
          <w:b/>
          <w:bCs/>
          <w:i/>
          <w:iCs/>
          <w:lang w:val="en-US"/>
        </w:rPr>
        <w:t>need</w:t>
      </w:r>
      <w:r w:rsidRPr="009C1A22">
        <w:rPr>
          <w:rFonts w:eastAsia="SimSun"/>
          <w:b/>
          <w:bCs/>
          <w:i/>
          <w:iCs/>
          <w:lang w:val="en-US"/>
        </w:rPr>
        <w:t xml:space="preserve"> </w:t>
      </w:r>
      <w:r w:rsidR="00142D90">
        <w:rPr>
          <w:rFonts w:eastAsia="SimSun"/>
          <w:b/>
          <w:bCs/>
          <w:i/>
          <w:iCs/>
          <w:lang w:val="en-US"/>
        </w:rPr>
        <w:t>for</w:t>
      </w:r>
      <w:r w:rsidRPr="009C1A22">
        <w:rPr>
          <w:rFonts w:eastAsia="SimSun"/>
          <w:b/>
          <w:bCs/>
          <w:i/>
          <w:iCs/>
          <w:lang w:val="en-US"/>
        </w:rPr>
        <w:t xml:space="preserve"> separate CSI reporting for SBFD versus non-SBFD slots/symbols.</w:t>
      </w:r>
      <w:bookmarkEnd w:id="16"/>
    </w:p>
    <w:p w14:paraId="5DB1CAB5" w14:textId="3B9FC86A" w:rsidR="00CE2296" w:rsidRDefault="00CE2296" w:rsidP="00CE2296">
      <w:pPr>
        <w:pStyle w:val="Heading2"/>
        <w:rPr>
          <w:rStyle w:val="ui-provider"/>
          <w:lang w:val="en-US"/>
        </w:rPr>
      </w:pPr>
      <w:r>
        <w:rPr>
          <w:rStyle w:val="ui-provider"/>
          <w:lang w:val="en-US"/>
        </w:rPr>
        <w:t xml:space="preserve">FTP3 Traffic </w:t>
      </w:r>
    </w:p>
    <w:p w14:paraId="175DAE1D" w14:textId="1AABADA2" w:rsidR="007B7153" w:rsidRDefault="007B7153" w:rsidP="00155DBC">
      <w:pPr>
        <w:jc w:val="both"/>
        <w:rPr>
          <w:rStyle w:val="ui-provider"/>
        </w:rPr>
      </w:pPr>
      <w:r w:rsidRPr="00C46C1C">
        <w:rPr>
          <w:rStyle w:val="ui-provider"/>
        </w:rPr>
        <w:t xml:space="preserve">This section compares the </w:t>
      </w:r>
      <w:r>
        <w:rPr>
          <w:rStyle w:val="ui-provider"/>
        </w:rPr>
        <w:t xml:space="preserve">DL </w:t>
      </w:r>
      <w:r w:rsidRPr="00C46C1C">
        <w:rPr>
          <w:rStyle w:val="ui-provider"/>
        </w:rPr>
        <w:t>UPT performance for same CSI</w:t>
      </w:r>
      <w:r>
        <w:rPr>
          <w:rStyle w:val="ui-provider"/>
        </w:rPr>
        <w:t xml:space="preserve"> reporting</w:t>
      </w:r>
      <w:r w:rsidRPr="00C46C1C">
        <w:rPr>
          <w:rStyle w:val="ui-provider"/>
        </w:rPr>
        <w:t xml:space="preserve"> and separate CSI </w:t>
      </w:r>
      <w:r>
        <w:rPr>
          <w:rStyle w:val="ui-provider"/>
        </w:rPr>
        <w:t xml:space="preserve">reporting </w:t>
      </w:r>
      <w:r w:rsidRPr="00C46C1C">
        <w:rPr>
          <w:rStyle w:val="ui-provider"/>
        </w:rPr>
        <w:t>schemes</w:t>
      </w:r>
      <w:r w:rsidR="007C2EA2">
        <w:rPr>
          <w:rStyle w:val="ui-provider"/>
        </w:rPr>
        <w:t xml:space="preserve"> for FTP3 traffic</w:t>
      </w:r>
      <w:r w:rsidRPr="00C46C1C">
        <w:rPr>
          <w:rStyle w:val="ui-provider"/>
        </w:rPr>
        <w:t xml:space="preserve">. </w:t>
      </w:r>
      <w:r>
        <w:rPr>
          <w:rStyle w:val="ui-provider"/>
        </w:rPr>
        <w:fldChar w:fldCharType="begin"/>
      </w:r>
      <w:r>
        <w:rPr>
          <w:rStyle w:val="ui-provider"/>
        </w:rPr>
        <w:instrText xml:space="preserve"> REF _Ref134782327 \h </w:instrText>
      </w:r>
      <w:r>
        <w:rPr>
          <w:rStyle w:val="ui-provider"/>
        </w:rPr>
      </w:r>
      <w:r>
        <w:rPr>
          <w:rStyle w:val="ui-provider"/>
        </w:rPr>
        <w:fldChar w:fldCharType="separate"/>
      </w:r>
      <w:r w:rsidR="006411F6">
        <w:t xml:space="preserve">Figure </w:t>
      </w:r>
      <w:r w:rsidR="006411F6">
        <w:rPr>
          <w:noProof/>
        </w:rPr>
        <w:t>6</w:t>
      </w:r>
      <w:r>
        <w:rPr>
          <w:rStyle w:val="ui-provider"/>
        </w:rPr>
        <w:fldChar w:fldCharType="end"/>
      </w:r>
      <w:r>
        <w:rPr>
          <w:rStyle w:val="ui-provider"/>
        </w:rPr>
        <w:t xml:space="preserve"> shows that for </w:t>
      </w:r>
      <w:r w:rsidRPr="00C46C1C">
        <w:rPr>
          <w:rStyle w:val="ui-provider"/>
        </w:rPr>
        <w:t>FTP3 traffic at high loads (around 70%) the separate CSI</w:t>
      </w:r>
      <w:r>
        <w:rPr>
          <w:rStyle w:val="ui-provider"/>
        </w:rPr>
        <w:t xml:space="preserve"> reporting</w:t>
      </w:r>
      <w:r w:rsidRPr="00C46C1C">
        <w:rPr>
          <w:rStyle w:val="ui-provider"/>
        </w:rPr>
        <w:t xml:space="preserve"> scheme performs better in both 5% and 50% average-UPT scenarios</w:t>
      </w:r>
      <w:r>
        <w:rPr>
          <w:rStyle w:val="ui-provider"/>
        </w:rPr>
        <w:t xml:space="preserve">. However, </w:t>
      </w:r>
      <w:r w:rsidRPr="00C46C1C">
        <w:rPr>
          <w:rStyle w:val="ui-provider"/>
        </w:rPr>
        <w:t>same CSI</w:t>
      </w:r>
      <w:r>
        <w:rPr>
          <w:rStyle w:val="ui-provider"/>
        </w:rPr>
        <w:t xml:space="preserve"> reporting</w:t>
      </w:r>
      <w:r w:rsidRPr="00C46C1C">
        <w:rPr>
          <w:rStyle w:val="ui-provider"/>
        </w:rPr>
        <w:t xml:space="preserve"> outperforms separate CSI</w:t>
      </w:r>
      <w:r>
        <w:rPr>
          <w:rStyle w:val="ui-provider"/>
        </w:rPr>
        <w:t xml:space="preserve"> reporting</w:t>
      </w:r>
      <w:r w:rsidRPr="00C46C1C">
        <w:rPr>
          <w:rStyle w:val="ui-provider"/>
        </w:rPr>
        <w:t xml:space="preserve"> in the 95% average-UPT scenario</w:t>
      </w:r>
      <w:r>
        <w:rPr>
          <w:rStyle w:val="ui-provider"/>
        </w:rPr>
        <w:t xml:space="preserve">. </w:t>
      </w:r>
      <w:r w:rsidRPr="007B7153">
        <w:rPr>
          <w:rStyle w:val="ui-provider"/>
        </w:rPr>
        <w:t>Th</w:t>
      </w:r>
      <w:r>
        <w:rPr>
          <w:rStyle w:val="ui-provider"/>
        </w:rPr>
        <w:t>is is because</w:t>
      </w:r>
      <w:r w:rsidRPr="007B7153">
        <w:rPr>
          <w:rStyle w:val="ui-provider"/>
        </w:rPr>
        <w:t xml:space="preserve"> for the UEs achieving 95% average UPT, the SINR difference in DL-only slot and SBFD slot is small</w:t>
      </w:r>
      <w:r>
        <w:rPr>
          <w:rStyle w:val="ui-provider"/>
        </w:rPr>
        <w:t xml:space="preserve">. As a result, </w:t>
      </w:r>
      <w:r w:rsidRPr="007B7153">
        <w:rPr>
          <w:rStyle w:val="ui-provider"/>
        </w:rPr>
        <w:t xml:space="preserve">the conservative MCS adopted in SBFD slot does not benefit BLER reduction, but instead </w:t>
      </w:r>
      <w:r w:rsidRPr="007B7153">
        <w:rPr>
          <w:rStyle w:val="ui-provider"/>
          <w:rFonts w:hint="eastAsia"/>
          <w:lang w:eastAsia="zh-TW"/>
        </w:rPr>
        <w:t>l</w:t>
      </w:r>
      <w:r w:rsidRPr="007B7153">
        <w:rPr>
          <w:rStyle w:val="ui-provider"/>
          <w:lang w:eastAsia="zh-TW"/>
        </w:rPr>
        <w:t>engthens packet latency and causes UPT loss.</w:t>
      </w:r>
      <w:r w:rsidRPr="007B7153">
        <w:rPr>
          <w:rStyle w:val="ui-provider"/>
        </w:rPr>
        <w:t xml:space="preserve"> </w:t>
      </w:r>
      <w:r>
        <w:rPr>
          <w:rStyle w:val="ui-provider"/>
        </w:rPr>
        <w:t xml:space="preserve">Furthermore, the interference power estimated on the DL resources of SBFD slot may not be so accurate because of the somewhat random nature of inter-UE CLI caused by the dynamic scheduling of UEs in the UL direction. </w:t>
      </w:r>
      <w:r w:rsidRPr="00C46C1C">
        <w:rPr>
          <w:rStyle w:val="ui-provider"/>
        </w:rPr>
        <w:t>This issue could be addressed if the scheduler had information on aggressor-victim UE pairs.</w:t>
      </w:r>
    </w:p>
    <w:p w14:paraId="7A606D86" w14:textId="5EC6E194" w:rsidR="00155DBC" w:rsidRDefault="00BA3C46" w:rsidP="00BA3C46">
      <w:pPr>
        <w:jc w:val="center"/>
        <w:rPr>
          <w:rStyle w:val="ui-provider"/>
        </w:rPr>
      </w:pPr>
      <w:r>
        <w:rPr>
          <w:rStyle w:val="ui-provider"/>
          <w:noProof/>
        </w:rPr>
        <w:drawing>
          <wp:inline distT="0" distB="0" distL="0" distR="0" wp14:anchorId="2DD5B116" wp14:editId="7AD15825">
            <wp:extent cx="2719070" cy="1633855"/>
            <wp:effectExtent l="0" t="0" r="508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19070" cy="1633855"/>
                    </a:xfrm>
                    <a:prstGeom prst="rect">
                      <a:avLst/>
                    </a:prstGeom>
                    <a:noFill/>
                  </pic:spPr>
                </pic:pic>
              </a:graphicData>
            </a:graphic>
          </wp:inline>
        </w:drawing>
      </w:r>
      <w:r>
        <w:rPr>
          <w:rStyle w:val="ui-provider"/>
          <w:noProof/>
        </w:rPr>
        <w:drawing>
          <wp:inline distT="0" distB="0" distL="0" distR="0" wp14:anchorId="29B438B4" wp14:editId="2C1C8FD6">
            <wp:extent cx="2731135" cy="16402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1135" cy="1640205"/>
                    </a:xfrm>
                    <a:prstGeom prst="rect">
                      <a:avLst/>
                    </a:prstGeom>
                    <a:noFill/>
                  </pic:spPr>
                </pic:pic>
              </a:graphicData>
            </a:graphic>
          </wp:inline>
        </w:drawing>
      </w:r>
    </w:p>
    <w:p w14:paraId="4B2B581F" w14:textId="38158005" w:rsidR="00BB54DA" w:rsidRDefault="003E5CCF" w:rsidP="00BA3C46">
      <w:pPr>
        <w:spacing w:after="0"/>
        <w:jc w:val="center"/>
        <w:rPr>
          <w:rStyle w:val="ui-provider"/>
        </w:rPr>
      </w:pPr>
      <w:bookmarkStart w:id="17" w:name="_Ref134782327"/>
      <w:r>
        <w:t xml:space="preserve">Figure </w:t>
      </w:r>
      <w:r>
        <w:fldChar w:fldCharType="begin"/>
      </w:r>
      <w:r>
        <w:instrText xml:space="preserve"> SEQ Figure \* ARABIC </w:instrText>
      </w:r>
      <w:r>
        <w:fldChar w:fldCharType="separate"/>
      </w:r>
      <w:r w:rsidR="006411F6">
        <w:rPr>
          <w:noProof/>
        </w:rPr>
        <w:t>6</w:t>
      </w:r>
      <w:r>
        <w:fldChar w:fldCharType="end"/>
      </w:r>
      <w:bookmarkEnd w:id="17"/>
      <w:r>
        <w:t>:</w:t>
      </w:r>
      <w:r w:rsidR="00BA3C46">
        <w:rPr>
          <w:rStyle w:val="ui-provider"/>
        </w:rPr>
        <w:t xml:space="preserve"> UPT and Latency</w:t>
      </w:r>
    </w:p>
    <w:p w14:paraId="41CA4B61" w14:textId="51AEA2E4" w:rsidR="00207952" w:rsidRDefault="00207952" w:rsidP="00BA3C46">
      <w:pPr>
        <w:spacing w:after="0"/>
        <w:jc w:val="center"/>
        <w:rPr>
          <w:rStyle w:val="ui-provider"/>
        </w:rPr>
      </w:pPr>
    </w:p>
    <w:p w14:paraId="3A3118C1" w14:textId="55FB9C29" w:rsidR="00C905F2" w:rsidRPr="00460EB9" w:rsidRDefault="00460EB9" w:rsidP="00460EB9">
      <w:pPr>
        <w:spacing w:after="120"/>
        <w:jc w:val="both"/>
        <w:rPr>
          <w:rStyle w:val="ui-provide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6411F6">
        <w:rPr>
          <w:b/>
          <w:bCs/>
          <w:i/>
          <w:iCs/>
          <w:noProof/>
        </w:rPr>
        <w:t>8</w:t>
      </w:r>
      <w:r w:rsidRPr="00EF4B7B">
        <w:rPr>
          <w:b/>
          <w:bCs/>
          <w:i/>
          <w:iCs/>
        </w:rPr>
        <w:fldChar w:fldCharType="end"/>
      </w:r>
      <w:r w:rsidRPr="00EF4B7B">
        <w:t xml:space="preserve">: </w:t>
      </w:r>
      <w:bookmarkStart w:id="18" w:name="_Ref134784304"/>
      <w:r w:rsidRPr="00460EB9">
        <w:rPr>
          <w:b/>
          <w:i/>
          <w:lang w:eastAsia="ko-KR"/>
        </w:rPr>
        <w:t>Using separate CSI reporting for SBFD and non-SBFD slots</w:t>
      </w:r>
      <w:r w:rsidR="00C83FDF">
        <w:rPr>
          <w:b/>
          <w:i/>
          <w:lang w:eastAsia="ko-KR"/>
        </w:rPr>
        <w:t>/symbols</w:t>
      </w:r>
      <w:r w:rsidRPr="00460EB9">
        <w:rPr>
          <w:b/>
          <w:i/>
          <w:lang w:eastAsia="ko-KR"/>
        </w:rPr>
        <w:t xml:space="preserve"> leads to a 5-10% improvement in performance compared to using the same CSI reporting.</w:t>
      </w:r>
      <w:bookmarkEnd w:id="18"/>
    </w:p>
    <w:p w14:paraId="39104508" w14:textId="77777777" w:rsidR="002D44AF" w:rsidRDefault="002D44AF" w:rsidP="00BA3C46">
      <w:pPr>
        <w:pStyle w:val="Heading1"/>
        <w:spacing w:after="0"/>
      </w:pPr>
      <w:r w:rsidRPr="00807D4E">
        <w:rPr>
          <w:rFonts w:hint="eastAsia"/>
        </w:rPr>
        <w:t>Conclusion</w:t>
      </w:r>
    </w:p>
    <w:p w14:paraId="0F0BACAB" w14:textId="3124381E" w:rsidR="000460EA" w:rsidRDefault="00BF0158" w:rsidP="00EC03D5">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the SBFD evaluation results in comparison to the legacy TDD</w:t>
      </w:r>
      <w:r w:rsidR="0051357D">
        <w:rPr>
          <w:rStyle w:val="ui-provider"/>
        </w:rPr>
        <w:t xml:space="preserve">. </w:t>
      </w:r>
      <w:r w:rsidR="00EF5923">
        <w:rPr>
          <w:rFonts w:eastAsia="SimSun"/>
          <w:lang w:eastAsia="zh-CN"/>
        </w:rPr>
        <w:t>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9A1FE7">
        <w:rPr>
          <w:rFonts w:eastAsia="SimSun"/>
          <w:lang w:val="en-US"/>
        </w:rPr>
        <w:t>:</w:t>
      </w:r>
    </w:p>
    <w:p w14:paraId="4F1ED29E" w14:textId="05DFAFFD" w:rsidR="00B91AEA" w:rsidRPr="00D65D1C" w:rsidRDefault="00B91AEA" w:rsidP="008F006D">
      <w:pPr>
        <w:pStyle w:val="ListParagraph"/>
        <w:numPr>
          <w:ilvl w:val="0"/>
          <w:numId w:val="10"/>
        </w:numPr>
        <w:spacing w:after="60"/>
        <w:ind w:left="357" w:hanging="357"/>
        <w:jc w:val="both"/>
        <w:rPr>
          <w:rFonts w:eastAsia="SimSun"/>
          <w:lang w:val="en-US"/>
        </w:rPr>
      </w:pPr>
      <w:r>
        <w:rPr>
          <w:rFonts w:eastAsia="SimSun"/>
          <w:b/>
          <w:bCs/>
          <w:i/>
          <w:iCs/>
          <w:lang w:val="en-US"/>
        </w:rPr>
        <w:fldChar w:fldCharType="begin"/>
      </w:r>
      <w:r>
        <w:rPr>
          <w:b/>
          <w:i/>
          <w:lang w:eastAsia="ko-KR"/>
        </w:rPr>
        <w:instrText xml:space="preserve"> REF _Ref134784009 \h </w:instrText>
      </w:r>
      <w:r>
        <w:rPr>
          <w:rFonts w:eastAsia="SimSun"/>
          <w:b/>
          <w:bCs/>
          <w:i/>
          <w:iCs/>
          <w:lang w:val="en-US"/>
        </w:rPr>
      </w:r>
      <w:r>
        <w:rPr>
          <w:rFonts w:eastAsia="SimSun"/>
          <w:b/>
          <w:bCs/>
          <w:i/>
          <w:iCs/>
          <w:lang w:val="en-US"/>
        </w:rPr>
        <w:fldChar w:fldCharType="separate"/>
      </w:r>
      <w:r w:rsidR="006411F6" w:rsidRPr="002D370C">
        <w:rPr>
          <w:rFonts w:eastAsia="SimSun"/>
          <w:b/>
          <w:bCs/>
          <w:i/>
          <w:iCs/>
          <w:lang w:val="en-US"/>
        </w:rPr>
        <w:t>The resource gain/loss in UL and DL, as well as the spectral efficiency gain/loss in UL and DL</w:t>
      </w:r>
      <w:r w:rsidR="006411F6">
        <w:rPr>
          <w:rFonts w:eastAsia="SimSun"/>
          <w:b/>
          <w:bCs/>
          <w:i/>
          <w:iCs/>
          <w:lang w:val="en-US"/>
        </w:rPr>
        <w:t xml:space="preserve"> </w:t>
      </w:r>
      <w:r w:rsidR="006411F6" w:rsidRPr="002D370C">
        <w:rPr>
          <w:rFonts w:eastAsia="SimSun"/>
          <w:b/>
          <w:bCs/>
          <w:i/>
          <w:iCs/>
          <w:lang w:val="en-US"/>
        </w:rPr>
        <w:t>for SBFD over the legacy TDD, are closely aligned</w:t>
      </w:r>
      <w:r>
        <w:rPr>
          <w:rFonts w:eastAsia="SimSun"/>
          <w:b/>
          <w:bCs/>
          <w:i/>
          <w:iCs/>
          <w:lang w:val="en-US"/>
        </w:rPr>
        <w:fldChar w:fldCharType="end"/>
      </w:r>
    </w:p>
    <w:p w14:paraId="2A1687B9" w14:textId="0760B7B6" w:rsidR="00697424" w:rsidRPr="00697424" w:rsidRDefault="00697424" w:rsidP="008F006D">
      <w:pPr>
        <w:pStyle w:val="ListParagraph"/>
        <w:numPr>
          <w:ilvl w:val="0"/>
          <w:numId w:val="10"/>
        </w:numPr>
        <w:spacing w:after="60"/>
        <w:ind w:left="357" w:hanging="357"/>
        <w:jc w:val="both"/>
        <w:rPr>
          <w:rFonts w:eastAsia="SimSun"/>
          <w:lang w:val="en-US"/>
        </w:rPr>
      </w:pPr>
      <w:r>
        <w:rPr>
          <w:b/>
          <w:i/>
          <w:lang w:eastAsia="ko-KR"/>
        </w:rPr>
        <w:fldChar w:fldCharType="begin"/>
      </w:r>
      <w:r>
        <w:rPr>
          <w:b/>
          <w:i/>
          <w:lang w:eastAsia="ko-KR"/>
        </w:rPr>
        <w:instrText xml:space="preserve"> REF _Ref142572438 \h </w:instrText>
      </w:r>
      <w:r>
        <w:rPr>
          <w:b/>
          <w:i/>
          <w:lang w:eastAsia="ko-KR"/>
        </w:rPr>
      </w:r>
      <w:r>
        <w:rPr>
          <w:b/>
          <w:i/>
          <w:lang w:eastAsia="ko-KR"/>
        </w:rPr>
        <w:fldChar w:fldCharType="separate"/>
      </w:r>
      <w:r w:rsidR="006411F6" w:rsidRPr="00A32C2A">
        <w:rPr>
          <w:b/>
          <w:i/>
          <w:lang w:eastAsia="ko-KR"/>
        </w:rPr>
        <w:t>Inter-UE CLI has significant impact to the DL performance</w:t>
      </w:r>
      <w:r>
        <w:rPr>
          <w:b/>
          <w:i/>
          <w:lang w:eastAsia="ko-KR"/>
        </w:rPr>
        <w:fldChar w:fldCharType="end"/>
      </w:r>
    </w:p>
    <w:p w14:paraId="44028F80" w14:textId="40A709E8" w:rsidR="00697424" w:rsidRDefault="00697424" w:rsidP="008F006D">
      <w:pPr>
        <w:pStyle w:val="ListParagraph"/>
        <w:numPr>
          <w:ilvl w:val="0"/>
          <w:numId w:val="10"/>
        </w:numPr>
        <w:spacing w:after="60"/>
        <w:ind w:left="357" w:hanging="357"/>
        <w:jc w:val="both"/>
        <w:rPr>
          <w:b/>
          <w:i/>
          <w:lang w:eastAsia="ko-KR"/>
        </w:rPr>
      </w:pPr>
      <w:r>
        <w:rPr>
          <w:b/>
          <w:i/>
          <w:lang w:eastAsia="ko-KR"/>
        </w:rPr>
        <w:lastRenderedPageBreak/>
        <w:fldChar w:fldCharType="begin"/>
      </w:r>
      <w:r>
        <w:rPr>
          <w:b/>
          <w:i/>
          <w:lang w:eastAsia="ko-KR"/>
        </w:rPr>
        <w:instrText xml:space="preserve"> REF _Ref142572467 \h </w:instrText>
      </w:r>
      <w:r>
        <w:rPr>
          <w:b/>
          <w:i/>
          <w:lang w:eastAsia="ko-KR"/>
        </w:rPr>
      </w:r>
      <w:r>
        <w:rPr>
          <w:b/>
          <w:i/>
          <w:lang w:eastAsia="ko-KR"/>
        </w:rPr>
        <w:fldChar w:fldCharType="separate"/>
      </w:r>
      <w:r w:rsidR="006411F6">
        <w:rPr>
          <w:b/>
          <w:i/>
          <w:lang w:eastAsia="ko-KR"/>
        </w:rPr>
        <w:t>CLI handling mechanisms, such as CLI-aware scheduling, can significantly improve system performance in the presence of inter-UE CLI</w:t>
      </w:r>
      <w:r>
        <w:rPr>
          <w:b/>
          <w:i/>
          <w:lang w:eastAsia="ko-KR"/>
        </w:rPr>
        <w:fldChar w:fldCharType="end"/>
      </w:r>
    </w:p>
    <w:p w14:paraId="27E374DD" w14:textId="53F2515C" w:rsidR="00FB16A1" w:rsidRDefault="00FB16A1" w:rsidP="008F006D">
      <w:pPr>
        <w:pStyle w:val="ListParagraph"/>
        <w:numPr>
          <w:ilvl w:val="0"/>
          <w:numId w:val="10"/>
        </w:numPr>
        <w:spacing w:after="60"/>
        <w:ind w:left="357" w:hanging="357"/>
        <w:jc w:val="both"/>
        <w:rPr>
          <w:b/>
          <w:i/>
          <w:lang w:eastAsia="ko-KR"/>
        </w:rPr>
      </w:pPr>
      <w:r>
        <w:rPr>
          <w:b/>
          <w:i/>
          <w:lang w:eastAsia="ko-KR"/>
        </w:rPr>
        <w:fldChar w:fldCharType="begin"/>
      </w:r>
      <w:r>
        <w:rPr>
          <w:b/>
          <w:i/>
          <w:lang w:eastAsia="ko-KR"/>
        </w:rPr>
        <w:instrText xml:space="preserve"> REF _Ref142572584 \h </w:instrText>
      </w:r>
      <w:r>
        <w:rPr>
          <w:b/>
          <w:i/>
          <w:lang w:eastAsia="ko-KR"/>
        </w:rPr>
      </w:r>
      <w:r>
        <w:rPr>
          <w:b/>
          <w:i/>
          <w:lang w:eastAsia="ko-KR"/>
        </w:rPr>
        <w:fldChar w:fldCharType="separate"/>
      </w:r>
      <w:r w:rsidR="006411F6">
        <w:rPr>
          <w:b/>
          <w:i/>
          <w:lang w:eastAsia="ko-KR"/>
        </w:rPr>
        <w:t>Support for mechanisms that enable efficient inter-UE CLI measurement and reporting is essential to improve DL performance</w:t>
      </w:r>
      <w:r>
        <w:rPr>
          <w:b/>
          <w:i/>
          <w:lang w:eastAsia="ko-KR"/>
        </w:rPr>
        <w:fldChar w:fldCharType="end"/>
      </w:r>
    </w:p>
    <w:p w14:paraId="073B3EBD" w14:textId="3964EEB7" w:rsidR="006074EF" w:rsidRDefault="006074EF" w:rsidP="008F006D">
      <w:pPr>
        <w:pStyle w:val="ListParagraph"/>
        <w:numPr>
          <w:ilvl w:val="0"/>
          <w:numId w:val="10"/>
        </w:numPr>
        <w:spacing w:after="60"/>
        <w:ind w:left="357" w:hanging="357"/>
        <w:jc w:val="both"/>
        <w:rPr>
          <w:b/>
          <w:i/>
          <w:lang w:eastAsia="ko-KR"/>
        </w:rPr>
      </w:pPr>
      <w:r>
        <w:rPr>
          <w:b/>
          <w:i/>
          <w:lang w:eastAsia="ko-KR"/>
        </w:rPr>
        <w:fldChar w:fldCharType="begin"/>
      </w:r>
      <w:r>
        <w:rPr>
          <w:b/>
          <w:i/>
          <w:lang w:eastAsia="ko-KR"/>
        </w:rPr>
        <w:instrText xml:space="preserve"> REF _Ref134784080 \h </w:instrText>
      </w:r>
      <w:r>
        <w:rPr>
          <w:b/>
          <w:i/>
          <w:lang w:eastAsia="ko-KR"/>
        </w:rPr>
      </w:r>
      <w:r>
        <w:rPr>
          <w:b/>
          <w:i/>
          <w:lang w:eastAsia="ko-KR"/>
        </w:rPr>
        <w:fldChar w:fldCharType="separate"/>
      </w:r>
      <w:r w:rsidR="006411F6">
        <w:rPr>
          <w:b/>
          <w:i/>
          <w:lang w:eastAsia="ko-KR"/>
        </w:rPr>
        <w:t>Intra</w:t>
      </w:r>
      <w:r w:rsidR="006411F6" w:rsidRPr="00A32C2A">
        <w:rPr>
          <w:b/>
          <w:i/>
          <w:lang w:eastAsia="ko-KR"/>
        </w:rPr>
        <w:t>-</w:t>
      </w:r>
      <w:r w:rsidR="006411F6">
        <w:rPr>
          <w:b/>
          <w:i/>
          <w:lang w:eastAsia="ko-KR"/>
        </w:rPr>
        <w:t>site gNB</w:t>
      </w:r>
      <w:r w:rsidR="006411F6" w:rsidRPr="00A32C2A">
        <w:rPr>
          <w:b/>
          <w:i/>
          <w:lang w:eastAsia="ko-KR"/>
        </w:rPr>
        <w:t xml:space="preserve"> CLI has significant impact to the </w:t>
      </w:r>
      <w:r w:rsidR="006411F6">
        <w:rPr>
          <w:b/>
          <w:i/>
          <w:lang w:eastAsia="ko-KR"/>
        </w:rPr>
        <w:t>U</w:t>
      </w:r>
      <w:r w:rsidR="006411F6" w:rsidRPr="00A32C2A">
        <w:rPr>
          <w:b/>
          <w:i/>
          <w:lang w:eastAsia="ko-KR"/>
        </w:rPr>
        <w:t>L performance</w:t>
      </w:r>
      <w:r>
        <w:rPr>
          <w:b/>
          <w:i/>
          <w:lang w:eastAsia="ko-KR"/>
        </w:rPr>
        <w:fldChar w:fldCharType="end"/>
      </w:r>
      <w:r>
        <w:rPr>
          <w:b/>
          <w:i/>
          <w:lang w:eastAsia="ko-KR"/>
        </w:rPr>
        <w:t>.</w:t>
      </w:r>
    </w:p>
    <w:p w14:paraId="3AEB466B" w14:textId="4B0DCFA7" w:rsidR="00C357F3" w:rsidRPr="00C357F3" w:rsidRDefault="00C357F3" w:rsidP="008F006D">
      <w:pPr>
        <w:pStyle w:val="ListParagraph"/>
        <w:numPr>
          <w:ilvl w:val="0"/>
          <w:numId w:val="10"/>
        </w:numPr>
        <w:spacing w:after="60"/>
        <w:ind w:left="357" w:hanging="357"/>
        <w:jc w:val="both"/>
        <w:rPr>
          <w:rFonts w:eastAsia="SimSun"/>
          <w:lang w:val="en-US"/>
        </w:rPr>
      </w:pPr>
      <w:r>
        <w:rPr>
          <w:b/>
          <w:i/>
          <w:lang w:eastAsia="ko-KR"/>
        </w:rPr>
        <w:fldChar w:fldCharType="begin"/>
      </w:r>
      <w:r>
        <w:rPr>
          <w:b/>
          <w:i/>
          <w:lang w:eastAsia="ko-KR"/>
        </w:rPr>
        <w:instrText xml:space="preserve"> REF _Ref134784104 \h </w:instrText>
      </w:r>
      <w:r>
        <w:rPr>
          <w:b/>
          <w:i/>
          <w:lang w:eastAsia="ko-KR"/>
        </w:rPr>
      </w:r>
      <w:r>
        <w:rPr>
          <w:b/>
          <w:i/>
          <w:lang w:eastAsia="ko-KR"/>
        </w:rPr>
        <w:fldChar w:fldCharType="separate"/>
      </w:r>
      <w:r w:rsidR="006411F6" w:rsidRPr="00ED4793">
        <w:rPr>
          <w:b/>
          <w:i/>
          <w:lang w:eastAsia="ko-KR"/>
        </w:rPr>
        <w:t>Intra-site isolation has a major influence on UL performance</w:t>
      </w:r>
      <w:r>
        <w:rPr>
          <w:b/>
          <w:i/>
          <w:lang w:eastAsia="ko-KR"/>
        </w:rPr>
        <w:fldChar w:fldCharType="end"/>
      </w:r>
      <w:r>
        <w:rPr>
          <w:b/>
          <w:i/>
          <w:lang w:eastAsia="ko-KR"/>
        </w:rPr>
        <w:t>.</w:t>
      </w:r>
    </w:p>
    <w:p w14:paraId="3C71E423" w14:textId="2EF42DB0" w:rsidR="00711204" w:rsidRPr="00711204" w:rsidRDefault="00711204" w:rsidP="00CA1609">
      <w:pPr>
        <w:pStyle w:val="ListParagraph"/>
        <w:numPr>
          <w:ilvl w:val="0"/>
          <w:numId w:val="10"/>
        </w:numPr>
        <w:spacing w:after="120"/>
        <w:jc w:val="both"/>
        <w:rPr>
          <w:b/>
          <w:i/>
          <w:lang w:eastAsia="ko-KR"/>
        </w:rPr>
      </w:pPr>
      <w:r>
        <w:rPr>
          <w:rFonts w:eastAsia="SimSun"/>
          <w:b/>
          <w:bCs/>
          <w:i/>
          <w:iCs/>
        </w:rPr>
        <w:fldChar w:fldCharType="begin"/>
      </w:r>
      <w:r>
        <w:rPr>
          <w:b/>
          <w:i/>
          <w:lang w:eastAsia="ko-KR"/>
        </w:rPr>
        <w:instrText xml:space="preserve"> REF _Ref134784267 \h </w:instrText>
      </w:r>
      <w:r>
        <w:rPr>
          <w:rFonts w:eastAsia="SimSun"/>
          <w:b/>
          <w:bCs/>
          <w:i/>
          <w:iCs/>
        </w:rPr>
      </w:r>
      <w:r>
        <w:rPr>
          <w:rFonts w:eastAsia="SimSun"/>
          <w:b/>
          <w:bCs/>
          <w:i/>
          <w:iCs/>
        </w:rPr>
        <w:fldChar w:fldCharType="separate"/>
      </w:r>
      <w:r w:rsidR="006411F6">
        <w:rPr>
          <w:rFonts w:eastAsia="SimSun"/>
          <w:b/>
          <w:bCs/>
          <w:i/>
          <w:iCs/>
        </w:rPr>
        <w:t>The high level of interference o</w:t>
      </w:r>
      <w:r w:rsidR="006411F6" w:rsidRPr="009C1A22">
        <w:rPr>
          <w:rFonts w:eastAsia="SimSun"/>
          <w:b/>
          <w:bCs/>
          <w:i/>
          <w:iCs/>
          <w:lang w:val="en-US"/>
        </w:rPr>
        <w:t xml:space="preserve">n SBFD slots have a noticeable impact on both effective SINR and BLER performance, underscoring the </w:t>
      </w:r>
      <w:r w:rsidR="006411F6">
        <w:rPr>
          <w:rFonts w:eastAsia="SimSun"/>
          <w:b/>
          <w:bCs/>
          <w:i/>
          <w:iCs/>
          <w:lang w:val="en-US"/>
        </w:rPr>
        <w:t>need</w:t>
      </w:r>
      <w:r w:rsidR="006411F6" w:rsidRPr="009C1A22">
        <w:rPr>
          <w:rFonts w:eastAsia="SimSun"/>
          <w:b/>
          <w:bCs/>
          <w:i/>
          <w:iCs/>
          <w:lang w:val="en-US"/>
        </w:rPr>
        <w:t xml:space="preserve"> </w:t>
      </w:r>
      <w:r w:rsidR="006411F6">
        <w:rPr>
          <w:rFonts w:eastAsia="SimSun"/>
          <w:b/>
          <w:bCs/>
          <w:i/>
          <w:iCs/>
          <w:lang w:val="en-US"/>
        </w:rPr>
        <w:t>for</w:t>
      </w:r>
      <w:r w:rsidR="006411F6" w:rsidRPr="009C1A22">
        <w:rPr>
          <w:rFonts w:eastAsia="SimSun"/>
          <w:b/>
          <w:bCs/>
          <w:i/>
          <w:iCs/>
          <w:lang w:val="en-US"/>
        </w:rPr>
        <w:t xml:space="preserve"> separate CSI reporting for SBFD versus non-SBFD slots/symbols.</w:t>
      </w:r>
      <w:r>
        <w:rPr>
          <w:rFonts w:eastAsia="SimSun"/>
          <w:b/>
          <w:bCs/>
          <w:i/>
          <w:iCs/>
        </w:rPr>
        <w:fldChar w:fldCharType="end"/>
      </w:r>
    </w:p>
    <w:p w14:paraId="2DB871A1" w14:textId="04A5E75B" w:rsidR="00711204" w:rsidRPr="00CA1609" w:rsidRDefault="00711204" w:rsidP="00CA1609">
      <w:pPr>
        <w:pStyle w:val="ListParagraph"/>
        <w:numPr>
          <w:ilvl w:val="0"/>
          <w:numId w:val="10"/>
        </w:numPr>
        <w:spacing w:after="120"/>
        <w:jc w:val="both"/>
        <w:rPr>
          <w:rStyle w:val="ui-provider"/>
          <w:b/>
          <w:i/>
          <w:lang w:eastAsia="ko-KR"/>
        </w:rPr>
      </w:pPr>
      <w:r>
        <w:rPr>
          <w:b/>
          <w:i/>
          <w:lang w:eastAsia="ko-KR"/>
        </w:rPr>
        <w:fldChar w:fldCharType="begin"/>
      </w:r>
      <w:r>
        <w:rPr>
          <w:rStyle w:val="ui-provider"/>
          <w:b/>
          <w:i/>
          <w:lang w:eastAsia="ko-KR"/>
        </w:rPr>
        <w:instrText xml:space="preserve"> REF _Ref134784304 \h </w:instrText>
      </w:r>
      <w:r>
        <w:rPr>
          <w:b/>
          <w:i/>
          <w:lang w:eastAsia="ko-KR"/>
        </w:rPr>
      </w:r>
      <w:r>
        <w:rPr>
          <w:b/>
          <w:i/>
          <w:lang w:eastAsia="ko-KR"/>
        </w:rPr>
        <w:fldChar w:fldCharType="separate"/>
      </w:r>
      <w:r w:rsidR="006411F6" w:rsidRPr="00460EB9">
        <w:rPr>
          <w:b/>
          <w:i/>
          <w:lang w:eastAsia="ko-KR"/>
        </w:rPr>
        <w:t>Using separate CSI reporting for SBFD and non-SBFD slots</w:t>
      </w:r>
      <w:r w:rsidR="006411F6">
        <w:rPr>
          <w:b/>
          <w:i/>
          <w:lang w:eastAsia="ko-KR"/>
        </w:rPr>
        <w:t>/symbols</w:t>
      </w:r>
      <w:r w:rsidR="006411F6" w:rsidRPr="00460EB9">
        <w:rPr>
          <w:b/>
          <w:i/>
          <w:lang w:eastAsia="ko-KR"/>
        </w:rPr>
        <w:t xml:space="preserve"> leads to a 5-10% improvement in performance compared to using the same CSI reporting.</w:t>
      </w:r>
      <w:r>
        <w:rPr>
          <w:b/>
          <w:i/>
          <w:lang w:eastAsia="ko-KR"/>
        </w:rPr>
        <w:fldChar w:fldCharType="end"/>
      </w:r>
    </w:p>
    <w:p w14:paraId="4E50094E" w14:textId="77777777" w:rsidR="00CA1609" w:rsidRPr="00D80818" w:rsidRDefault="00CA1609" w:rsidP="00CA1609">
      <w:pPr>
        <w:spacing w:after="60"/>
        <w:jc w:val="both"/>
      </w:pPr>
    </w:p>
    <w:p w14:paraId="1752DA37" w14:textId="77777777" w:rsidR="002D44AF" w:rsidRPr="00B300C3" w:rsidRDefault="002D44AF" w:rsidP="00D271F7">
      <w:pPr>
        <w:pStyle w:val="Heading1"/>
      </w:pPr>
      <w:r>
        <w:rPr>
          <w:rFonts w:hint="eastAsia"/>
        </w:rPr>
        <w:t>References</w:t>
      </w:r>
    </w:p>
    <w:p w14:paraId="490FA2CB" w14:textId="735FB9AE" w:rsidR="004C65C9" w:rsidRDefault="004C65C9" w:rsidP="000E6A95">
      <w:pPr>
        <w:pStyle w:val="ListParagraph"/>
        <w:numPr>
          <w:ilvl w:val="0"/>
          <w:numId w:val="1"/>
        </w:numPr>
        <w:spacing w:after="0"/>
        <w:rPr>
          <w:lang w:val="en-US"/>
        </w:rPr>
      </w:pPr>
      <w:bookmarkStart w:id="19" w:name="_Ref47545028"/>
      <w:bookmarkStart w:id="20" w:name="_Ref525898979"/>
      <w:bookmarkStart w:id="21" w:name="_Ref47515866"/>
      <w:bookmarkStart w:id="22" w:name="_Ref521335405"/>
      <w:r w:rsidRPr="004C65C9">
        <w:rPr>
          <w:lang w:val="en-US"/>
        </w:rPr>
        <w:t>RP</w:t>
      </w:r>
      <w:r w:rsidR="00DD5E49" w:rsidRPr="00DD5E49">
        <w:rPr>
          <w:lang w:val="en-US"/>
        </w:rPr>
        <w:t>-213591</w:t>
      </w:r>
      <w:r w:rsidRPr="004C65C9">
        <w:rPr>
          <w:lang w:val="en-US"/>
        </w:rPr>
        <w:t>, “</w:t>
      </w:r>
      <w:r w:rsidR="00DD5E49" w:rsidRPr="00DD5E49">
        <w:rPr>
          <w:lang w:val="en-US"/>
        </w:rPr>
        <w:t>New SI: Study on evolution of NR duplex operation</w:t>
      </w:r>
      <w:r w:rsidRPr="004C65C9">
        <w:rPr>
          <w:lang w:val="en-US"/>
        </w:rPr>
        <w:t xml:space="preserve">”, </w:t>
      </w:r>
      <w:r w:rsidR="00DD5E49">
        <w:rPr>
          <w:lang w:val="en-US"/>
        </w:rPr>
        <w:t>CMCC</w:t>
      </w:r>
      <w:r w:rsidRPr="004C65C9">
        <w:rPr>
          <w:lang w:val="en-US"/>
        </w:rPr>
        <w:t>, RAN#</w:t>
      </w:r>
      <w:r w:rsidR="00DD5E49">
        <w:rPr>
          <w:lang w:val="en-US"/>
        </w:rPr>
        <w:t>94</w:t>
      </w:r>
      <w:r w:rsidRPr="004C65C9">
        <w:rPr>
          <w:lang w:val="en-US"/>
        </w:rPr>
        <w:t xml:space="preserve">e, </w:t>
      </w:r>
      <w:r w:rsidR="00DD5E49">
        <w:rPr>
          <w:lang w:val="en-US"/>
        </w:rPr>
        <w:t>December</w:t>
      </w:r>
      <w:r w:rsidRPr="004C65C9">
        <w:rPr>
          <w:lang w:val="en-US"/>
        </w:rPr>
        <w:t xml:space="preserve"> 202</w:t>
      </w:r>
      <w:bookmarkEnd w:id="19"/>
      <w:r w:rsidR="00DD5E49">
        <w:rPr>
          <w:lang w:val="en-US"/>
        </w:rPr>
        <w:t>1</w:t>
      </w:r>
      <w:r w:rsidR="00D241E6">
        <w:rPr>
          <w:lang w:val="en-US"/>
        </w:rPr>
        <w:t>.</w:t>
      </w:r>
    </w:p>
    <w:p w14:paraId="626B003F" w14:textId="611E1673" w:rsidR="00F5797F" w:rsidRDefault="00F5797F" w:rsidP="00F5797F">
      <w:pPr>
        <w:spacing w:after="0"/>
        <w:rPr>
          <w:lang w:val="en-US"/>
        </w:rPr>
      </w:pPr>
    </w:p>
    <w:p w14:paraId="7A68C99A" w14:textId="77777777" w:rsidR="00F5797F" w:rsidRPr="00F5797F" w:rsidRDefault="00F5797F" w:rsidP="00F5797F">
      <w:pPr>
        <w:spacing w:after="0"/>
        <w:rPr>
          <w:lang w:val="en-US"/>
        </w:rPr>
      </w:pPr>
    </w:p>
    <w:bookmarkEnd w:id="20"/>
    <w:bookmarkEnd w:id="21"/>
    <w:bookmarkEnd w:id="22"/>
    <w:p w14:paraId="2BC99DF9" w14:textId="7B0BD7AC" w:rsidR="00BC5669" w:rsidRDefault="00BC5669">
      <w:pPr>
        <w:pStyle w:val="Heading1"/>
      </w:pPr>
      <w:r>
        <w:t>Appendix</w:t>
      </w:r>
      <w:r w:rsidR="00EE5480">
        <w:t>: Simulation assumptions in SLS evaluation</w:t>
      </w:r>
    </w:p>
    <w:p w14:paraId="7A3D556A" w14:textId="7273955E" w:rsidR="00EE5480" w:rsidRDefault="00EE5480" w:rsidP="00EE5480">
      <w:pPr>
        <w:spacing w:after="120"/>
        <w:jc w:val="center"/>
      </w:pPr>
      <w:bookmarkStart w:id="23" w:name="_Ref101777776"/>
      <w:r w:rsidRPr="00922E39">
        <w:t xml:space="preserve">Table </w:t>
      </w:r>
      <w:bookmarkEnd w:id="23"/>
      <w:r w:rsidR="00C24377">
        <w:t>5</w:t>
      </w:r>
      <w:r w:rsidRPr="00922E39">
        <w:t xml:space="preserve">: </w:t>
      </w:r>
      <w:r w:rsidRPr="00EE5480">
        <w:t>Simulation assumptions in SLS</w:t>
      </w:r>
      <w:r w:rsidR="007B7D7C">
        <w:t xml:space="preserve"> for SBFD</w:t>
      </w:r>
      <w:r w:rsidRPr="00EE5480">
        <w:t xml:space="preserve"> evaluation</w:t>
      </w:r>
      <w:r>
        <w:t>.</w:t>
      </w:r>
    </w:p>
    <w:tbl>
      <w:tblPr>
        <w:tblW w:w="5000" w:type="pct"/>
        <w:jc w:val="center"/>
        <w:tblLook w:val="04A0" w:firstRow="1" w:lastRow="0" w:firstColumn="1" w:lastColumn="0" w:noHBand="0" w:noVBand="1"/>
      </w:tblPr>
      <w:tblGrid>
        <w:gridCol w:w="2167"/>
        <w:gridCol w:w="2417"/>
        <w:gridCol w:w="5047"/>
      </w:tblGrid>
      <w:tr w:rsidR="003C7447" w:rsidRPr="0038344D" w14:paraId="2C16E8E2" w14:textId="77777777" w:rsidTr="003C7447">
        <w:trPr>
          <w:trHeight w:val="290"/>
          <w:jc w:val="center"/>
        </w:trPr>
        <w:tc>
          <w:tcPr>
            <w:tcW w:w="2380" w:type="pct"/>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D1CBC0B" w14:textId="77777777" w:rsidR="003C7447" w:rsidRPr="0038344D" w:rsidRDefault="003C7447" w:rsidP="00E31A1F">
            <w:pPr>
              <w:spacing w:after="0"/>
              <w:jc w:val="center"/>
            </w:pPr>
            <w:r w:rsidRPr="0038344D">
              <w:rPr>
                <w:rFonts w:eastAsia="Times New Roman"/>
                <w:color w:val="000000"/>
              </w:rPr>
              <w:t>Parameter set</w:t>
            </w:r>
          </w:p>
        </w:tc>
        <w:tc>
          <w:tcPr>
            <w:tcW w:w="2620" w:type="pct"/>
            <w:tcBorders>
              <w:top w:val="single" w:sz="4" w:space="0" w:color="auto"/>
              <w:left w:val="single" w:sz="4" w:space="0" w:color="auto"/>
              <w:bottom w:val="single" w:sz="4" w:space="0" w:color="auto"/>
              <w:right w:val="single" w:sz="4" w:space="0" w:color="auto"/>
            </w:tcBorders>
            <w:shd w:val="clear" w:color="000000" w:fill="F2F2F2"/>
          </w:tcPr>
          <w:p w14:paraId="3266C817" w14:textId="77777777" w:rsidR="003C7447" w:rsidRPr="0038344D" w:rsidRDefault="003C7447" w:rsidP="00E31A1F">
            <w:pPr>
              <w:spacing w:after="0"/>
              <w:jc w:val="center"/>
              <w:rPr>
                <w:rFonts w:eastAsia="Times New Roman"/>
                <w:color w:val="000000"/>
              </w:rPr>
            </w:pPr>
            <w:r w:rsidRPr="0038344D">
              <w:rPr>
                <w:rFonts w:eastAsia="Times New Roman"/>
                <w:color w:val="000000"/>
              </w:rPr>
              <w:t>Urban Macro (FR1)</w:t>
            </w:r>
          </w:p>
        </w:tc>
      </w:tr>
      <w:tr w:rsidR="003C7447" w:rsidRPr="0038344D" w14:paraId="41B2C0CD" w14:textId="77777777" w:rsidTr="003C7447">
        <w:trPr>
          <w:trHeight w:val="29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05F0E75E" w14:textId="77777777" w:rsidR="003C7447" w:rsidRPr="0038344D" w:rsidRDefault="003C7447" w:rsidP="00E31A1F">
            <w:pPr>
              <w:spacing w:after="0"/>
              <w:rPr>
                <w:rFonts w:eastAsia="Times New Roman"/>
                <w:color w:val="000000"/>
              </w:rPr>
            </w:pPr>
            <w:r w:rsidRPr="0038344D">
              <w:rPr>
                <w:rFonts w:eastAsia="Times New Roman"/>
                <w:color w:val="000000"/>
              </w:rPr>
              <w:t>A. General</w:t>
            </w:r>
          </w:p>
        </w:tc>
        <w:tc>
          <w:tcPr>
            <w:tcW w:w="1255" w:type="pct"/>
            <w:tcBorders>
              <w:top w:val="nil"/>
              <w:left w:val="nil"/>
              <w:bottom w:val="single" w:sz="4" w:space="0" w:color="auto"/>
              <w:right w:val="single" w:sz="4" w:space="0" w:color="auto"/>
            </w:tcBorders>
            <w:shd w:val="clear" w:color="000000" w:fill="F2F2F2"/>
            <w:vAlign w:val="center"/>
            <w:hideMark/>
          </w:tcPr>
          <w:p w14:paraId="05E8BCA5" w14:textId="77777777" w:rsidR="003C7447" w:rsidRPr="0038344D" w:rsidRDefault="003C7447" w:rsidP="00E31A1F">
            <w:pPr>
              <w:spacing w:after="0"/>
              <w:rPr>
                <w:rFonts w:eastAsia="Times New Roman"/>
                <w:color w:val="000000"/>
              </w:rPr>
            </w:pPr>
            <w:r w:rsidRPr="0038344D">
              <w:rPr>
                <w:rFonts w:eastAsia="Times New Roman"/>
                <w:color w:val="000000"/>
              </w:rPr>
              <w:t>Carrier frequency</w:t>
            </w:r>
          </w:p>
        </w:tc>
        <w:tc>
          <w:tcPr>
            <w:tcW w:w="2620" w:type="pct"/>
            <w:tcBorders>
              <w:top w:val="nil"/>
              <w:left w:val="nil"/>
              <w:bottom w:val="single" w:sz="4" w:space="0" w:color="auto"/>
              <w:right w:val="single" w:sz="4" w:space="0" w:color="auto"/>
            </w:tcBorders>
            <w:shd w:val="clear" w:color="000000" w:fill="F2F2F2"/>
            <w:vAlign w:val="center"/>
          </w:tcPr>
          <w:p w14:paraId="4C99C1F5" w14:textId="77777777" w:rsidR="003C7447" w:rsidRPr="0038344D" w:rsidRDefault="003C7447" w:rsidP="00E31A1F">
            <w:pPr>
              <w:spacing w:after="0"/>
              <w:rPr>
                <w:rFonts w:eastAsia="Times New Roman"/>
                <w:color w:val="000000"/>
              </w:rPr>
            </w:pPr>
            <w:r w:rsidRPr="0038344D">
              <w:rPr>
                <w:color w:val="000000"/>
              </w:rPr>
              <w:t>4 GHz</w:t>
            </w:r>
          </w:p>
        </w:tc>
      </w:tr>
      <w:tr w:rsidR="003C7447" w:rsidRPr="0038344D" w14:paraId="1B1B07DD"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019B486D"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D3629CE" w14:textId="77777777" w:rsidR="003C7447" w:rsidRPr="0038344D" w:rsidRDefault="003C7447" w:rsidP="00E31A1F">
            <w:pPr>
              <w:spacing w:after="0"/>
              <w:rPr>
                <w:rFonts w:eastAsia="Times New Roman"/>
                <w:color w:val="000000"/>
              </w:rPr>
            </w:pPr>
            <w:r w:rsidRPr="0038344D">
              <w:rPr>
                <w:rFonts w:eastAsia="Times New Roman"/>
                <w:color w:val="000000"/>
              </w:rPr>
              <w:t>System bandwidth</w:t>
            </w:r>
          </w:p>
        </w:tc>
        <w:tc>
          <w:tcPr>
            <w:tcW w:w="2620" w:type="pct"/>
            <w:tcBorders>
              <w:top w:val="nil"/>
              <w:left w:val="nil"/>
              <w:bottom w:val="single" w:sz="4" w:space="0" w:color="auto"/>
              <w:right w:val="single" w:sz="4" w:space="0" w:color="auto"/>
            </w:tcBorders>
            <w:shd w:val="clear" w:color="000000" w:fill="F2F2F2"/>
            <w:vAlign w:val="center"/>
          </w:tcPr>
          <w:p w14:paraId="61EEA41E" w14:textId="77777777" w:rsidR="003C7447" w:rsidRPr="0038344D" w:rsidRDefault="003C7447" w:rsidP="00E31A1F">
            <w:pPr>
              <w:spacing w:after="0"/>
              <w:rPr>
                <w:rFonts w:eastAsia="Times New Roman"/>
                <w:color w:val="000000"/>
              </w:rPr>
            </w:pPr>
            <w:r w:rsidRPr="0038344D">
              <w:rPr>
                <w:color w:val="000000"/>
              </w:rPr>
              <w:t>100 MHz</w:t>
            </w:r>
          </w:p>
        </w:tc>
      </w:tr>
      <w:tr w:rsidR="003C7447" w:rsidRPr="0038344D" w14:paraId="24230B73" w14:textId="77777777" w:rsidTr="003C7447">
        <w:trPr>
          <w:trHeight w:val="143"/>
          <w:jc w:val="center"/>
        </w:trPr>
        <w:tc>
          <w:tcPr>
            <w:tcW w:w="1125" w:type="pct"/>
            <w:vMerge/>
            <w:tcBorders>
              <w:top w:val="nil"/>
              <w:left w:val="single" w:sz="4" w:space="0" w:color="auto"/>
              <w:bottom w:val="single" w:sz="4" w:space="0" w:color="auto"/>
              <w:right w:val="single" w:sz="4" w:space="0" w:color="auto"/>
            </w:tcBorders>
            <w:vAlign w:val="center"/>
            <w:hideMark/>
          </w:tcPr>
          <w:p w14:paraId="7709718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054B2B0" w14:textId="77777777" w:rsidR="003C7447" w:rsidRPr="0038344D" w:rsidRDefault="003C7447" w:rsidP="00E31A1F">
            <w:pPr>
              <w:spacing w:after="0"/>
              <w:rPr>
                <w:rFonts w:eastAsia="Times New Roman"/>
                <w:color w:val="000000"/>
              </w:rPr>
            </w:pPr>
            <w:r w:rsidRPr="0038344D">
              <w:rPr>
                <w:rFonts w:eastAsia="Times New Roman"/>
                <w:color w:val="000000"/>
              </w:rPr>
              <w:t>Numerology</w:t>
            </w:r>
          </w:p>
        </w:tc>
        <w:tc>
          <w:tcPr>
            <w:tcW w:w="2620" w:type="pct"/>
            <w:tcBorders>
              <w:top w:val="nil"/>
              <w:left w:val="nil"/>
              <w:bottom w:val="single" w:sz="4" w:space="0" w:color="auto"/>
              <w:right w:val="single" w:sz="4" w:space="0" w:color="auto"/>
            </w:tcBorders>
            <w:shd w:val="clear" w:color="000000" w:fill="F2F2F2"/>
            <w:vAlign w:val="center"/>
          </w:tcPr>
          <w:p w14:paraId="0C57ECC5" w14:textId="77777777" w:rsidR="003C7447" w:rsidRPr="0038344D" w:rsidRDefault="003C7447" w:rsidP="00E31A1F">
            <w:pPr>
              <w:spacing w:after="0"/>
              <w:rPr>
                <w:rFonts w:eastAsia="Times New Roman"/>
                <w:color w:val="000000"/>
              </w:rPr>
            </w:pPr>
            <w:r w:rsidRPr="0038344D">
              <w:rPr>
                <w:color w:val="000000"/>
              </w:rPr>
              <w:t>14 OFDM symbol slot, SCS = 30kHz</w:t>
            </w:r>
          </w:p>
        </w:tc>
      </w:tr>
      <w:tr w:rsidR="003C7447" w:rsidRPr="0038344D" w14:paraId="1E315503" w14:textId="77777777" w:rsidTr="003C7447">
        <w:trPr>
          <w:trHeight w:val="350"/>
          <w:jc w:val="center"/>
        </w:trPr>
        <w:tc>
          <w:tcPr>
            <w:tcW w:w="1125" w:type="pct"/>
            <w:vMerge w:val="restart"/>
            <w:tcBorders>
              <w:top w:val="nil"/>
              <w:left w:val="single" w:sz="4" w:space="0" w:color="auto"/>
              <w:bottom w:val="nil"/>
              <w:right w:val="single" w:sz="4" w:space="0" w:color="auto"/>
            </w:tcBorders>
            <w:shd w:val="clear" w:color="000000" w:fill="F2F2F2"/>
            <w:vAlign w:val="center"/>
            <w:hideMark/>
          </w:tcPr>
          <w:p w14:paraId="6F7AF1FF" w14:textId="77777777" w:rsidR="003C7447" w:rsidRPr="0038344D" w:rsidRDefault="003C7447" w:rsidP="00E31A1F">
            <w:pPr>
              <w:spacing w:after="0"/>
              <w:rPr>
                <w:rFonts w:eastAsia="Times New Roman"/>
                <w:color w:val="000000"/>
              </w:rPr>
            </w:pPr>
            <w:r w:rsidRPr="0038344D">
              <w:rPr>
                <w:rFonts w:eastAsia="Times New Roman"/>
                <w:color w:val="000000"/>
              </w:rPr>
              <w:t>B. Layout and UE distribution</w:t>
            </w:r>
          </w:p>
        </w:tc>
        <w:tc>
          <w:tcPr>
            <w:tcW w:w="1255" w:type="pct"/>
            <w:tcBorders>
              <w:top w:val="nil"/>
              <w:left w:val="nil"/>
              <w:bottom w:val="single" w:sz="4" w:space="0" w:color="auto"/>
              <w:right w:val="single" w:sz="4" w:space="0" w:color="auto"/>
            </w:tcBorders>
            <w:shd w:val="clear" w:color="000000" w:fill="F2F2F2"/>
            <w:vAlign w:val="center"/>
            <w:hideMark/>
          </w:tcPr>
          <w:p w14:paraId="5AA2BED1" w14:textId="77777777" w:rsidR="003C7447" w:rsidRPr="0038344D" w:rsidRDefault="003C7447" w:rsidP="00E31A1F">
            <w:pPr>
              <w:spacing w:after="0"/>
              <w:rPr>
                <w:rFonts w:eastAsia="Times New Roman"/>
                <w:color w:val="000000"/>
              </w:rPr>
            </w:pPr>
            <w:r w:rsidRPr="0038344D">
              <w:rPr>
                <w:rFonts w:eastAsia="Times New Roman"/>
                <w:color w:val="000000"/>
              </w:rPr>
              <w:t>BS Layout</w:t>
            </w:r>
          </w:p>
        </w:tc>
        <w:tc>
          <w:tcPr>
            <w:tcW w:w="2620" w:type="pct"/>
            <w:tcBorders>
              <w:top w:val="nil"/>
              <w:left w:val="nil"/>
              <w:bottom w:val="single" w:sz="4" w:space="0" w:color="auto"/>
              <w:right w:val="single" w:sz="4" w:space="0" w:color="auto"/>
            </w:tcBorders>
            <w:shd w:val="clear" w:color="000000" w:fill="F2F2F2"/>
            <w:vAlign w:val="center"/>
          </w:tcPr>
          <w:p w14:paraId="307F4972" w14:textId="77777777" w:rsidR="003C7447" w:rsidRPr="0038344D" w:rsidRDefault="003C7447" w:rsidP="00E31A1F">
            <w:pPr>
              <w:spacing w:after="0"/>
              <w:rPr>
                <w:rFonts w:eastAsia="Times New Roman"/>
                <w:color w:val="000000"/>
              </w:rPr>
            </w:pPr>
            <w:r w:rsidRPr="0038344D">
              <w:rPr>
                <w:color w:val="000000"/>
              </w:rPr>
              <w:t>Hexagonal grid with 7 macro sites and 3 sectors per site with wrap around</w:t>
            </w:r>
          </w:p>
        </w:tc>
      </w:tr>
      <w:tr w:rsidR="003C7447" w:rsidRPr="0038344D" w14:paraId="211B8DF8" w14:textId="77777777" w:rsidTr="003C7447">
        <w:trPr>
          <w:trHeight w:val="70"/>
          <w:jc w:val="center"/>
        </w:trPr>
        <w:tc>
          <w:tcPr>
            <w:tcW w:w="1125" w:type="pct"/>
            <w:vMerge/>
            <w:tcBorders>
              <w:top w:val="nil"/>
              <w:left w:val="single" w:sz="4" w:space="0" w:color="auto"/>
              <w:bottom w:val="nil"/>
              <w:right w:val="single" w:sz="4" w:space="0" w:color="auto"/>
            </w:tcBorders>
            <w:vAlign w:val="center"/>
            <w:hideMark/>
          </w:tcPr>
          <w:p w14:paraId="6597093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E495480" w14:textId="77777777" w:rsidR="003C7447" w:rsidRPr="0038344D" w:rsidRDefault="003C7447" w:rsidP="00E31A1F">
            <w:pPr>
              <w:spacing w:after="0"/>
              <w:rPr>
                <w:rFonts w:eastAsia="Times New Roman"/>
                <w:color w:val="000000"/>
              </w:rPr>
            </w:pPr>
            <w:r w:rsidRPr="0038344D">
              <w:rPr>
                <w:rFonts w:eastAsia="Times New Roman"/>
                <w:color w:val="000000"/>
              </w:rPr>
              <w:t>Wrap-round</w:t>
            </w:r>
          </w:p>
        </w:tc>
        <w:tc>
          <w:tcPr>
            <w:tcW w:w="2620" w:type="pct"/>
            <w:tcBorders>
              <w:top w:val="nil"/>
              <w:left w:val="nil"/>
              <w:bottom w:val="single" w:sz="4" w:space="0" w:color="auto"/>
              <w:right w:val="single" w:sz="4" w:space="0" w:color="auto"/>
            </w:tcBorders>
            <w:shd w:val="clear" w:color="000000" w:fill="F2F2F2"/>
            <w:vAlign w:val="center"/>
          </w:tcPr>
          <w:p w14:paraId="0E3BA452" w14:textId="77777777" w:rsidR="003C7447" w:rsidRPr="0038344D" w:rsidRDefault="003C7447" w:rsidP="00E31A1F">
            <w:pPr>
              <w:spacing w:after="0"/>
              <w:rPr>
                <w:rFonts w:eastAsia="Times New Roman"/>
                <w:color w:val="000000"/>
              </w:rPr>
            </w:pPr>
            <w:r w:rsidRPr="0038344D">
              <w:rPr>
                <w:color w:val="000000"/>
              </w:rPr>
              <w:t>distance-based</w:t>
            </w:r>
          </w:p>
        </w:tc>
      </w:tr>
      <w:tr w:rsidR="003C7447" w:rsidRPr="0038344D" w14:paraId="46233EFA" w14:textId="77777777" w:rsidTr="003C7447">
        <w:trPr>
          <w:trHeight w:val="98"/>
          <w:jc w:val="center"/>
        </w:trPr>
        <w:tc>
          <w:tcPr>
            <w:tcW w:w="1125" w:type="pct"/>
            <w:vMerge/>
            <w:tcBorders>
              <w:top w:val="nil"/>
              <w:left w:val="single" w:sz="4" w:space="0" w:color="auto"/>
              <w:bottom w:val="nil"/>
              <w:right w:val="single" w:sz="4" w:space="0" w:color="auto"/>
            </w:tcBorders>
            <w:vAlign w:val="center"/>
            <w:hideMark/>
          </w:tcPr>
          <w:p w14:paraId="3922351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05A9C13" w14:textId="77777777" w:rsidR="003C7447" w:rsidRPr="0038344D" w:rsidRDefault="003C7447" w:rsidP="00E31A1F">
            <w:pPr>
              <w:spacing w:after="0"/>
              <w:rPr>
                <w:rFonts w:eastAsia="Times New Roman"/>
                <w:color w:val="000000"/>
              </w:rPr>
            </w:pPr>
            <w:r w:rsidRPr="0038344D">
              <w:rPr>
                <w:rFonts w:eastAsia="Times New Roman"/>
                <w:color w:val="000000"/>
              </w:rPr>
              <w:t>Inter-BS (2D) distance</w:t>
            </w:r>
          </w:p>
        </w:tc>
        <w:tc>
          <w:tcPr>
            <w:tcW w:w="2620" w:type="pct"/>
            <w:tcBorders>
              <w:top w:val="nil"/>
              <w:left w:val="nil"/>
              <w:bottom w:val="single" w:sz="4" w:space="0" w:color="auto"/>
              <w:right w:val="single" w:sz="4" w:space="0" w:color="auto"/>
            </w:tcBorders>
            <w:shd w:val="clear" w:color="000000" w:fill="F2F2F2"/>
            <w:vAlign w:val="center"/>
          </w:tcPr>
          <w:p w14:paraId="5F226901" w14:textId="77777777" w:rsidR="003C7447" w:rsidRPr="0038344D" w:rsidRDefault="003C7447" w:rsidP="00E31A1F">
            <w:pPr>
              <w:spacing w:after="0"/>
              <w:rPr>
                <w:rFonts w:eastAsia="Times New Roman"/>
                <w:color w:val="000000"/>
              </w:rPr>
            </w:pPr>
            <w:r w:rsidRPr="0038344D">
              <w:rPr>
                <w:color w:val="000000"/>
              </w:rPr>
              <w:t>500m</w:t>
            </w:r>
          </w:p>
        </w:tc>
      </w:tr>
      <w:tr w:rsidR="003C7447" w:rsidRPr="0038344D" w14:paraId="0F9F0117" w14:textId="77777777" w:rsidTr="003C7447">
        <w:trPr>
          <w:trHeight w:val="70"/>
          <w:jc w:val="center"/>
        </w:trPr>
        <w:tc>
          <w:tcPr>
            <w:tcW w:w="1125" w:type="pct"/>
            <w:vMerge/>
            <w:tcBorders>
              <w:top w:val="nil"/>
              <w:left w:val="single" w:sz="4" w:space="0" w:color="auto"/>
              <w:bottom w:val="nil"/>
              <w:right w:val="single" w:sz="4" w:space="0" w:color="auto"/>
            </w:tcBorders>
            <w:vAlign w:val="center"/>
            <w:hideMark/>
          </w:tcPr>
          <w:p w14:paraId="5133E11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E4E7117" w14:textId="77777777" w:rsidR="003C7447" w:rsidRPr="0038344D" w:rsidRDefault="003C7447" w:rsidP="00E31A1F">
            <w:pPr>
              <w:spacing w:after="0"/>
              <w:rPr>
                <w:rFonts w:eastAsia="Times New Roman"/>
                <w:color w:val="000000"/>
              </w:rPr>
            </w:pPr>
            <w:r w:rsidRPr="0038344D">
              <w:rPr>
                <w:rFonts w:eastAsia="Times New Roman"/>
                <w:color w:val="000000"/>
              </w:rPr>
              <w:t>BS antenna height</w:t>
            </w:r>
          </w:p>
        </w:tc>
        <w:tc>
          <w:tcPr>
            <w:tcW w:w="2620" w:type="pct"/>
            <w:tcBorders>
              <w:top w:val="nil"/>
              <w:left w:val="nil"/>
              <w:bottom w:val="single" w:sz="4" w:space="0" w:color="auto"/>
              <w:right w:val="single" w:sz="4" w:space="0" w:color="auto"/>
            </w:tcBorders>
            <w:shd w:val="clear" w:color="000000" w:fill="F2F2F2"/>
            <w:vAlign w:val="center"/>
          </w:tcPr>
          <w:p w14:paraId="32555B5E" w14:textId="77777777" w:rsidR="003C7447" w:rsidRPr="0038344D" w:rsidRDefault="003C7447" w:rsidP="00E31A1F">
            <w:pPr>
              <w:spacing w:after="0"/>
              <w:rPr>
                <w:rFonts w:eastAsia="Times New Roman"/>
                <w:color w:val="000000"/>
              </w:rPr>
            </w:pPr>
            <w:r w:rsidRPr="0038344D">
              <w:rPr>
                <w:color w:val="000000"/>
              </w:rPr>
              <w:t>25m</w:t>
            </w:r>
          </w:p>
        </w:tc>
      </w:tr>
      <w:tr w:rsidR="003C7447" w:rsidRPr="0038344D" w14:paraId="2971D495" w14:textId="77777777" w:rsidTr="003C7447">
        <w:trPr>
          <w:trHeight w:val="1592"/>
          <w:jc w:val="center"/>
        </w:trPr>
        <w:tc>
          <w:tcPr>
            <w:tcW w:w="1125" w:type="pct"/>
            <w:vMerge/>
            <w:tcBorders>
              <w:top w:val="nil"/>
              <w:left w:val="single" w:sz="4" w:space="0" w:color="auto"/>
              <w:bottom w:val="nil"/>
              <w:right w:val="single" w:sz="4" w:space="0" w:color="auto"/>
            </w:tcBorders>
            <w:vAlign w:val="center"/>
            <w:hideMark/>
          </w:tcPr>
          <w:p w14:paraId="61F97DF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621F75" w14:textId="77777777" w:rsidR="003C7447" w:rsidRPr="0038344D" w:rsidRDefault="003C7447" w:rsidP="00E31A1F">
            <w:pPr>
              <w:spacing w:after="0"/>
              <w:rPr>
                <w:rFonts w:eastAsia="Times New Roman"/>
                <w:color w:val="000000"/>
              </w:rPr>
            </w:pPr>
            <w:r w:rsidRPr="0038344D">
              <w:rPr>
                <w:rFonts w:eastAsia="Times New Roman"/>
                <w:color w:val="000000"/>
              </w:rPr>
              <w:t>UE distribution</w:t>
            </w:r>
          </w:p>
        </w:tc>
        <w:tc>
          <w:tcPr>
            <w:tcW w:w="2620" w:type="pct"/>
            <w:tcBorders>
              <w:top w:val="nil"/>
              <w:left w:val="nil"/>
              <w:bottom w:val="single" w:sz="4" w:space="0" w:color="auto"/>
              <w:right w:val="single" w:sz="4" w:space="0" w:color="auto"/>
            </w:tcBorders>
            <w:shd w:val="clear" w:color="000000" w:fill="F2F2F2"/>
            <w:vAlign w:val="center"/>
          </w:tcPr>
          <w:p w14:paraId="3E5DA438" w14:textId="77777777" w:rsidR="003C7447" w:rsidRPr="0038344D" w:rsidRDefault="003C7447" w:rsidP="00E31A1F">
            <w:pPr>
              <w:spacing w:after="0"/>
              <w:rPr>
                <w:rFonts w:eastAsia="Times New Roman"/>
                <w:color w:val="000000"/>
              </w:rPr>
            </w:pPr>
            <w:r w:rsidRPr="0038344D">
              <w:t>UE clustering distribution</w:t>
            </w:r>
            <w:r w:rsidRPr="0038344D">
              <w:br/>
              <w:t>- (Baseline) M=20, X=2</w:t>
            </w:r>
            <w:r w:rsidRPr="0038344D">
              <w:br/>
              <w:t>- R' = 25m</w:t>
            </w:r>
            <w:r w:rsidRPr="0038344D">
              <w:br/>
              <w:t>- 8 UE per cluster per direction</w:t>
            </w:r>
            <w:r w:rsidRPr="0038344D">
              <w:br/>
              <w:t xml:space="preserve">- </w:t>
            </w:r>
            <w:proofErr w:type="spellStart"/>
            <w:r w:rsidRPr="0038344D">
              <w:t>D</w:t>
            </w:r>
            <w:r w:rsidRPr="0038344D">
              <w:rPr>
                <w:vertAlign w:val="subscript"/>
              </w:rPr>
              <w:t>macro</w:t>
            </w:r>
            <w:proofErr w:type="spellEnd"/>
            <w:r w:rsidRPr="0038344D">
              <w:rPr>
                <w:vertAlign w:val="subscript"/>
              </w:rPr>
              <w:t>-to-cluster</w:t>
            </w:r>
            <w:r w:rsidRPr="0038344D">
              <w:t xml:space="preserve"> = 35m+R'</w:t>
            </w:r>
            <w:r w:rsidRPr="0038344D">
              <w:br/>
              <w:t xml:space="preserve">- </w:t>
            </w:r>
            <w:proofErr w:type="spellStart"/>
            <w:r w:rsidRPr="0038344D">
              <w:t>D</w:t>
            </w:r>
            <w:r w:rsidRPr="0038344D">
              <w:rPr>
                <w:vertAlign w:val="subscript"/>
              </w:rPr>
              <w:t>inter</w:t>
            </w:r>
            <w:proofErr w:type="spellEnd"/>
            <w:r w:rsidRPr="0038344D">
              <w:rPr>
                <w:vertAlign w:val="subscript"/>
              </w:rPr>
              <w:t>-cluster</w:t>
            </w:r>
            <w:r w:rsidRPr="0038344D">
              <w:t xml:space="preserve"> = 2R' m</w:t>
            </w:r>
            <w:r w:rsidRPr="0038344D">
              <w:br/>
              <w:t>(Optional) Uniform UE distribution</w:t>
            </w:r>
            <w:r w:rsidRPr="0038344D">
              <w:br/>
              <w:t>-10 users per macro TRP per direction</w:t>
            </w:r>
          </w:p>
        </w:tc>
      </w:tr>
      <w:tr w:rsidR="003C7447" w:rsidRPr="0038344D" w14:paraId="5B4CBBE0" w14:textId="77777777" w:rsidTr="003C7447">
        <w:trPr>
          <w:trHeight w:val="278"/>
          <w:jc w:val="center"/>
        </w:trPr>
        <w:tc>
          <w:tcPr>
            <w:tcW w:w="1125" w:type="pct"/>
            <w:vMerge/>
            <w:tcBorders>
              <w:top w:val="nil"/>
              <w:left w:val="single" w:sz="4" w:space="0" w:color="auto"/>
              <w:bottom w:val="nil"/>
              <w:right w:val="single" w:sz="4" w:space="0" w:color="auto"/>
            </w:tcBorders>
            <w:vAlign w:val="center"/>
            <w:hideMark/>
          </w:tcPr>
          <w:p w14:paraId="0EF5229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D3D8346" w14:textId="77777777" w:rsidR="003C7447" w:rsidRPr="0038344D" w:rsidRDefault="003C7447" w:rsidP="00E31A1F">
            <w:pPr>
              <w:spacing w:after="0"/>
              <w:rPr>
                <w:rFonts w:eastAsia="Times New Roman"/>
                <w:color w:val="000000"/>
              </w:rPr>
            </w:pPr>
            <w:r w:rsidRPr="0038344D">
              <w:rPr>
                <w:rFonts w:eastAsia="Times New Roman"/>
                <w:color w:val="000000"/>
              </w:rPr>
              <w:t>Minimum BS-UE (2D) distance</w:t>
            </w:r>
          </w:p>
        </w:tc>
        <w:tc>
          <w:tcPr>
            <w:tcW w:w="2620" w:type="pct"/>
            <w:tcBorders>
              <w:top w:val="nil"/>
              <w:left w:val="nil"/>
              <w:bottom w:val="single" w:sz="4" w:space="0" w:color="auto"/>
              <w:right w:val="single" w:sz="4" w:space="0" w:color="auto"/>
            </w:tcBorders>
            <w:shd w:val="clear" w:color="000000" w:fill="F2F2F2"/>
            <w:vAlign w:val="center"/>
          </w:tcPr>
          <w:p w14:paraId="6BE21501" w14:textId="77777777" w:rsidR="003C7447" w:rsidRPr="0038344D" w:rsidRDefault="003C7447" w:rsidP="00E31A1F">
            <w:pPr>
              <w:spacing w:after="0"/>
              <w:rPr>
                <w:rFonts w:eastAsia="Times New Roman"/>
                <w:color w:val="000000"/>
              </w:rPr>
            </w:pPr>
            <w:r w:rsidRPr="0038344D">
              <w:rPr>
                <w:color w:val="000000"/>
              </w:rPr>
              <w:t>35m</w:t>
            </w:r>
          </w:p>
        </w:tc>
      </w:tr>
      <w:tr w:rsidR="003C7447" w:rsidRPr="0038344D" w14:paraId="5A37A5B7" w14:textId="77777777" w:rsidTr="003C7447">
        <w:trPr>
          <w:trHeight w:val="260"/>
          <w:jc w:val="center"/>
        </w:trPr>
        <w:tc>
          <w:tcPr>
            <w:tcW w:w="1125" w:type="pct"/>
            <w:vMerge/>
            <w:tcBorders>
              <w:top w:val="nil"/>
              <w:left w:val="single" w:sz="4" w:space="0" w:color="auto"/>
              <w:bottom w:val="nil"/>
              <w:right w:val="single" w:sz="4" w:space="0" w:color="auto"/>
            </w:tcBorders>
            <w:vAlign w:val="center"/>
            <w:hideMark/>
          </w:tcPr>
          <w:p w14:paraId="29D06B99"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BCA3A6" w14:textId="77777777" w:rsidR="003C7447" w:rsidRPr="0038344D" w:rsidRDefault="003C7447" w:rsidP="00E31A1F">
            <w:pPr>
              <w:spacing w:after="0"/>
              <w:rPr>
                <w:rFonts w:eastAsia="Times New Roman"/>
                <w:color w:val="000000"/>
              </w:rPr>
            </w:pPr>
            <w:r w:rsidRPr="0038344D">
              <w:rPr>
                <w:rFonts w:eastAsia="Times New Roman"/>
                <w:color w:val="000000"/>
              </w:rPr>
              <w:t>Minimum UE-UE (2D) distance</w:t>
            </w:r>
          </w:p>
        </w:tc>
        <w:tc>
          <w:tcPr>
            <w:tcW w:w="2620" w:type="pct"/>
            <w:tcBorders>
              <w:top w:val="nil"/>
              <w:left w:val="nil"/>
              <w:bottom w:val="single" w:sz="4" w:space="0" w:color="auto"/>
              <w:right w:val="single" w:sz="4" w:space="0" w:color="auto"/>
            </w:tcBorders>
            <w:shd w:val="clear" w:color="000000" w:fill="F2F2F2"/>
          </w:tcPr>
          <w:p w14:paraId="4EDEF3B1" w14:textId="77777777" w:rsidR="003C7447" w:rsidRPr="0038344D" w:rsidRDefault="003C7447" w:rsidP="00E31A1F">
            <w:pPr>
              <w:spacing w:after="0"/>
              <w:rPr>
                <w:rFonts w:eastAsia="Times New Roman"/>
                <w:color w:val="000000"/>
              </w:rPr>
            </w:pPr>
            <w:r w:rsidRPr="0038344D">
              <w:rPr>
                <w:rFonts w:eastAsia="Times New Roman"/>
                <w:color w:val="000000"/>
              </w:rPr>
              <w:t>1m</w:t>
            </w:r>
          </w:p>
        </w:tc>
      </w:tr>
      <w:tr w:rsidR="003C7447" w:rsidRPr="0038344D" w14:paraId="04934328" w14:textId="77777777" w:rsidTr="003C7447">
        <w:trPr>
          <w:trHeight w:val="332"/>
          <w:jc w:val="center"/>
        </w:trPr>
        <w:tc>
          <w:tcPr>
            <w:tcW w:w="1125" w:type="pct"/>
            <w:vMerge/>
            <w:tcBorders>
              <w:top w:val="nil"/>
              <w:left w:val="single" w:sz="4" w:space="0" w:color="auto"/>
              <w:bottom w:val="nil"/>
              <w:right w:val="single" w:sz="4" w:space="0" w:color="auto"/>
            </w:tcBorders>
            <w:vAlign w:val="center"/>
            <w:hideMark/>
          </w:tcPr>
          <w:p w14:paraId="23DD443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A8E8037" w14:textId="77777777" w:rsidR="003C7447" w:rsidRPr="0038344D" w:rsidRDefault="003C7447" w:rsidP="00E31A1F">
            <w:pPr>
              <w:spacing w:after="0"/>
              <w:rPr>
                <w:rFonts w:eastAsia="Times New Roman"/>
                <w:color w:val="000000"/>
              </w:rPr>
            </w:pPr>
            <w:r w:rsidRPr="0038344D">
              <w:rPr>
                <w:rFonts w:eastAsia="Times New Roman"/>
                <w:color w:val="000000"/>
              </w:rPr>
              <w:t>UE outdoor/indoor proportion</w:t>
            </w:r>
          </w:p>
        </w:tc>
        <w:tc>
          <w:tcPr>
            <w:tcW w:w="2620" w:type="pct"/>
            <w:tcBorders>
              <w:top w:val="nil"/>
              <w:left w:val="nil"/>
              <w:bottom w:val="single" w:sz="4" w:space="0" w:color="auto"/>
              <w:right w:val="single" w:sz="4" w:space="0" w:color="auto"/>
            </w:tcBorders>
            <w:shd w:val="clear" w:color="000000" w:fill="F2F2F2"/>
            <w:vAlign w:val="center"/>
          </w:tcPr>
          <w:p w14:paraId="47D9AB73" w14:textId="77777777" w:rsidR="003C7447" w:rsidRPr="0038344D" w:rsidRDefault="003C7447" w:rsidP="00E31A1F">
            <w:pPr>
              <w:spacing w:after="0"/>
              <w:rPr>
                <w:rFonts w:eastAsia="Times New Roman"/>
                <w:color w:val="000000"/>
              </w:rPr>
            </w:pPr>
            <w:r w:rsidRPr="0038344D">
              <w:rPr>
                <w:color w:val="000000"/>
              </w:rPr>
              <w:t>20% outdoor in cars: 30km/h; 80% indoor in houses: 3km/h</w:t>
            </w:r>
          </w:p>
        </w:tc>
      </w:tr>
      <w:tr w:rsidR="003C7447" w:rsidRPr="0038344D" w14:paraId="4F510B46" w14:textId="77777777" w:rsidTr="003C7447">
        <w:trPr>
          <w:trHeight w:val="575"/>
          <w:jc w:val="center"/>
        </w:trPr>
        <w:tc>
          <w:tcPr>
            <w:tcW w:w="1125" w:type="pct"/>
            <w:vMerge/>
            <w:tcBorders>
              <w:top w:val="nil"/>
              <w:left w:val="single" w:sz="4" w:space="0" w:color="auto"/>
              <w:bottom w:val="nil"/>
              <w:right w:val="single" w:sz="4" w:space="0" w:color="auto"/>
            </w:tcBorders>
            <w:vAlign w:val="center"/>
            <w:hideMark/>
          </w:tcPr>
          <w:p w14:paraId="208409F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47FC1B9" w14:textId="77777777" w:rsidR="003C7447" w:rsidRPr="0038344D" w:rsidRDefault="003C7447" w:rsidP="00E31A1F">
            <w:pPr>
              <w:spacing w:after="0"/>
              <w:rPr>
                <w:rFonts w:eastAsia="Times New Roman"/>
                <w:color w:val="000000"/>
              </w:rPr>
            </w:pPr>
            <w:r w:rsidRPr="0038344D">
              <w:rPr>
                <w:rFonts w:eastAsia="Times New Roman"/>
                <w:color w:val="000000"/>
              </w:rPr>
              <w:t>UE height (m)</w:t>
            </w:r>
          </w:p>
        </w:tc>
        <w:tc>
          <w:tcPr>
            <w:tcW w:w="2620" w:type="pct"/>
            <w:tcBorders>
              <w:top w:val="nil"/>
              <w:left w:val="nil"/>
              <w:bottom w:val="single" w:sz="4" w:space="0" w:color="auto"/>
              <w:right w:val="single" w:sz="4" w:space="0" w:color="auto"/>
            </w:tcBorders>
            <w:shd w:val="clear" w:color="000000" w:fill="F2F2F2"/>
            <w:vAlign w:val="center"/>
          </w:tcPr>
          <w:p w14:paraId="34377A06" w14:textId="656749D2" w:rsidR="003C7447" w:rsidRPr="0038344D" w:rsidRDefault="003C7447" w:rsidP="00E31A1F">
            <w:pPr>
              <w:spacing w:after="0"/>
              <w:rPr>
                <w:rFonts w:eastAsia="Times New Roman"/>
                <w:color w:val="000000"/>
              </w:rPr>
            </w:pPr>
            <w:r w:rsidRPr="0038344D">
              <w:rPr>
                <w:color w:val="000000"/>
              </w:rPr>
              <w:t>1.5m</w:t>
            </w:r>
          </w:p>
        </w:tc>
      </w:tr>
      <w:tr w:rsidR="003C7447" w:rsidRPr="0038344D" w14:paraId="665B3070" w14:textId="77777777" w:rsidTr="003C7447">
        <w:trPr>
          <w:trHeight w:val="188"/>
          <w:jc w:val="center"/>
        </w:trPr>
        <w:tc>
          <w:tcPr>
            <w:tcW w:w="1125"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32A6720" w14:textId="77777777" w:rsidR="003C7447" w:rsidRPr="0038344D" w:rsidRDefault="003C7447" w:rsidP="00E31A1F">
            <w:pPr>
              <w:spacing w:after="0"/>
              <w:rPr>
                <w:rFonts w:eastAsia="Times New Roman"/>
                <w:color w:val="000000"/>
              </w:rPr>
            </w:pPr>
            <w:r w:rsidRPr="0038344D">
              <w:rPr>
                <w:rFonts w:eastAsia="Times New Roman"/>
                <w:color w:val="000000"/>
              </w:rPr>
              <w:t xml:space="preserve">C. Interference modelling </w:t>
            </w:r>
          </w:p>
        </w:tc>
        <w:tc>
          <w:tcPr>
            <w:tcW w:w="1255" w:type="pct"/>
            <w:tcBorders>
              <w:top w:val="nil"/>
              <w:left w:val="nil"/>
              <w:bottom w:val="single" w:sz="4" w:space="0" w:color="auto"/>
              <w:right w:val="single" w:sz="4" w:space="0" w:color="auto"/>
            </w:tcBorders>
            <w:shd w:val="clear" w:color="000000" w:fill="F2F2F2"/>
            <w:hideMark/>
          </w:tcPr>
          <w:p w14:paraId="3CC329A4" w14:textId="77777777" w:rsidR="003C7447" w:rsidRPr="0038344D" w:rsidRDefault="003C7447" w:rsidP="00E31A1F">
            <w:pPr>
              <w:spacing w:after="0"/>
              <w:rPr>
                <w:rFonts w:eastAsia="Times New Roman"/>
                <w:color w:val="000000"/>
              </w:rPr>
            </w:pPr>
            <w:r w:rsidRPr="0038344D">
              <w:rPr>
                <w:rFonts w:eastAsia="Times New Roman"/>
                <w:color w:val="000000"/>
              </w:rPr>
              <w:t>gNB self-interference - αSI</w:t>
            </w:r>
          </w:p>
        </w:tc>
        <w:tc>
          <w:tcPr>
            <w:tcW w:w="2620" w:type="pct"/>
            <w:tcBorders>
              <w:top w:val="nil"/>
              <w:left w:val="nil"/>
              <w:bottom w:val="single" w:sz="4" w:space="0" w:color="auto"/>
              <w:right w:val="single" w:sz="4" w:space="0" w:color="auto"/>
            </w:tcBorders>
            <w:shd w:val="clear" w:color="000000" w:fill="F2F2F2"/>
          </w:tcPr>
          <w:p w14:paraId="26214B87" w14:textId="77777777" w:rsidR="003C7447" w:rsidRPr="0038344D" w:rsidRDefault="003C7447" w:rsidP="00E31A1F">
            <w:pPr>
              <w:spacing w:after="0"/>
              <w:rPr>
                <w:rFonts w:eastAsia="Times New Roman"/>
                <w:color w:val="000000"/>
              </w:rPr>
            </w:pPr>
            <w:r w:rsidRPr="0038344D">
              <w:rPr>
                <w:rFonts w:eastAsia="Times New Roman"/>
                <w:color w:val="000000"/>
              </w:rPr>
              <w:t xml:space="preserve">based on 1 dB UL </w:t>
            </w:r>
            <w:proofErr w:type="spellStart"/>
            <w:r w:rsidRPr="0038344D">
              <w:rPr>
                <w:rFonts w:eastAsia="Times New Roman"/>
                <w:color w:val="000000"/>
              </w:rPr>
              <w:t>desense</w:t>
            </w:r>
            <w:proofErr w:type="spellEnd"/>
          </w:p>
        </w:tc>
      </w:tr>
      <w:tr w:rsidR="003C7447" w:rsidRPr="0038344D" w14:paraId="4DB5CAAC" w14:textId="77777777" w:rsidTr="003C7447">
        <w:trPr>
          <w:trHeight w:val="53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35E33F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hideMark/>
          </w:tcPr>
          <w:p w14:paraId="5FFB9D09" w14:textId="77777777" w:rsidR="003C7447" w:rsidRPr="0038344D" w:rsidRDefault="003C7447" w:rsidP="00E31A1F">
            <w:pPr>
              <w:spacing w:after="0"/>
              <w:rPr>
                <w:rFonts w:eastAsia="Times New Roman"/>
                <w:color w:val="000000"/>
              </w:rPr>
            </w:pPr>
            <w:r w:rsidRPr="0038344D">
              <w:rPr>
                <w:rFonts w:eastAsia="Times New Roman"/>
                <w:color w:val="000000"/>
              </w:rPr>
              <w:t>Co-site inter-sector co-channel inter-subband CLI</w:t>
            </w:r>
          </w:p>
        </w:tc>
        <w:tc>
          <w:tcPr>
            <w:tcW w:w="2620" w:type="pct"/>
            <w:tcBorders>
              <w:top w:val="nil"/>
              <w:left w:val="nil"/>
              <w:bottom w:val="single" w:sz="4" w:space="0" w:color="auto"/>
              <w:right w:val="single" w:sz="4" w:space="0" w:color="auto"/>
            </w:tcBorders>
            <w:shd w:val="clear" w:color="000000" w:fill="F2F2F2"/>
            <w:vAlign w:val="center"/>
          </w:tcPr>
          <w:p w14:paraId="52C43F1B" w14:textId="77777777" w:rsidR="003C7447" w:rsidRPr="0038344D" w:rsidRDefault="003C7447" w:rsidP="00E31A1F">
            <w:pPr>
              <w:spacing w:after="0"/>
              <w:rPr>
                <w:rFonts w:eastAsia="Times New Roman"/>
                <w:color w:val="000000"/>
              </w:rPr>
            </w:pPr>
            <w:r w:rsidRPr="0038344D">
              <w:rPr>
                <w:color w:val="000000"/>
              </w:rPr>
              <w:t>Spatial isolation: 75dB (RAN4 typical value) / 93</w:t>
            </w:r>
            <w:proofErr w:type="gramStart"/>
            <w:r w:rsidRPr="0038344D">
              <w:rPr>
                <w:color w:val="000000"/>
              </w:rPr>
              <w:t>dB  (</w:t>
            </w:r>
            <w:proofErr w:type="gramEnd"/>
            <w:r w:rsidRPr="0038344D">
              <w:rPr>
                <w:color w:val="000000"/>
              </w:rPr>
              <w:t>RAN4 best value) / 100dB</w:t>
            </w:r>
            <w:r w:rsidRPr="0038344D">
              <w:rPr>
                <w:color w:val="000000"/>
              </w:rPr>
              <w:br/>
            </w:r>
            <w:r w:rsidRPr="0038344D">
              <w:rPr>
                <w:rFonts w:eastAsia="Microsoft YaHei"/>
                <w:color w:val="000000"/>
              </w:rPr>
              <w:t>D</w:t>
            </w:r>
            <w:r w:rsidRPr="0038344D">
              <w:rPr>
                <w:color w:val="000000"/>
              </w:rPr>
              <w:t>igital cancelation</w:t>
            </w:r>
            <w:r w:rsidRPr="0038344D">
              <w:rPr>
                <w:rFonts w:eastAsia="Microsoft YaHei"/>
                <w:color w:val="000000"/>
              </w:rPr>
              <w:t>: companies to report, e.g., 10dB</w:t>
            </w:r>
          </w:p>
        </w:tc>
      </w:tr>
      <w:tr w:rsidR="003C7447" w:rsidRPr="0038344D" w14:paraId="602E9F2F" w14:textId="77777777" w:rsidTr="003C7447">
        <w:trPr>
          <w:trHeight w:val="188"/>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22CF67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1F8D043" w14:textId="77777777" w:rsidR="003C7447" w:rsidRPr="0038344D" w:rsidRDefault="003C7447" w:rsidP="00E31A1F">
            <w:pPr>
              <w:spacing w:after="0"/>
              <w:rPr>
                <w:rFonts w:eastAsia="Times New Roman"/>
                <w:color w:val="000000"/>
              </w:rPr>
            </w:pPr>
            <w:r w:rsidRPr="0038344D">
              <w:rPr>
                <w:rFonts w:eastAsia="Times New Roman"/>
                <w:color w:val="000000"/>
              </w:rPr>
              <w:t>BS ACLR</w:t>
            </w:r>
          </w:p>
        </w:tc>
        <w:tc>
          <w:tcPr>
            <w:tcW w:w="2620" w:type="pct"/>
            <w:tcBorders>
              <w:top w:val="nil"/>
              <w:left w:val="nil"/>
              <w:bottom w:val="single" w:sz="4" w:space="0" w:color="auto"/>
              <w:right w:val="single" w:sz="4" w:space="0" w:color="auto"/>
            </w:tcBorders>
            <w:shd w:val="clear" w:color="000000" w:fill="F2F2F2"/>
            <w:vAlign w:val="center"/>
          </w:tcPr>
          <w:p w14:paraId="615A4C51" w14:textId="77777777" w:rsidR="003C7447" w:rsidRPr="0038344D" w:rsidRDefault="003C7447" w:rsidP="00E31A1F">
            <w:pPr>
              <w:spacing w:after="0"/>
              <w:rPr>
                <w:rFonts w:eastAsia="Times New Roman"/>
                <w:color w:val="000000"/>
              </w:rPr>
            </w:pPr>
            <w:r w:rsidRPr="0038344D">
              <w:rPr>
                <w:color w:val="000000"/>
              </w:rPr>
              <w:t>45 dBc</w:t>
            </w:r>
          </w:p>
        </w:tc>
      </w:tr>
      <w:tr w:rsidR="003C7447" w:rsidRPr="0038344D" w14:paraId="1C2C4171" w14:textId="77777777" w:rsidTr="003C7447">
        <w:trPr>
          <w:trHeight w:val="125"/>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779DAD2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708C4A0" w14:textId="77777777" w:rsidR="003C7447" w:rsidRPr="0038344D" w:rsidRDefault="003C7447" w:rsidP="00E31A1F">
            <w:pPr>
              <w:spacing w:after="0"/>
              <w:jc w:val="both"/>
              <w:rPr>
                <w:rFonts w:eastAsia="Times New Roman"/>
                <w:color w:val="000000"/>
              </w:rPr>
            </w:pPr>
            <w:r w:rsidRPr="0038344D">
              <w:rPr>
                <w:rFonts w:eastAsia="Times New Roman"/>
                <w:color w:val="000000"/>
              </w:rPr>
              <w:t>BS ACS</w:t>
            </w:r>
          </w:p>
        </w:tc>
        <w:tc>
          <w:tcPr>
            <w:tcW w:w="2620" w:type="pct"/>
            <w:tcBorders>
              <w:top w:val="nil"/>
              <w:left w:val="nil"/>
              <w:bottom w:val="single" w:sz="4" w:space="0" w:color="auto"/>
              <w:right w:val="single" w:sz="4" w:space="0" w:color="auto"/>
            </w:tcBorders>
            <w:shd w:val="clear" w:color="000000" w:fill="F2F2F2"/>
            <w:vAlign w:val="center"/>
          </w:tcPr>
          <w:p w14:paraId="266C19F3" w14:textId="77777777" w:rsidR="003C7447" w:rsidRPr="0038344D" w:rsidRDefault="003C7447" w:rsidP="00E31A1F">
            <w:pPr>
              <w:spacing w:after="0"/>
              <w:jc w:val="both"/>
              <w:rPr>
                <w:rFonts w:eastAsia="Times New Roman"/>
                <w:color w:val="000000"/>
              </w:rPr>
            </w:pPr>
            <w:r w:rsidRPr="0038344D">
              <w:rPr>
                <w:color w:val="000000"/>
              </w:rPr>
              <w:t>46 dBc</w:t>
            </w:r>
          </w:p>
        </w:tc>
      </w:tr>
      <w:tr w:rsidR="003C7447" w:rsidRPr="0038344D" w14:paraId="4C9A4996" w14:textId="77777777" w:rsidTr="003C7447">
        <w:trPr>
          <w:trHeight w:val="7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68D74E6F"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6E8F5FB" w14:textId="77777777" w:rsidR="003C7447" w:rsidRPr="0038344D" w:rsidRDefault="003C7447" w:rsidP="00E31A1F">
            <w:pPr>
              <w:spacing w:after="0"/>
              <w:rPr>
                <w:rFonts w:eastAsia="Times New Roman"/>
                <w:color w:val="000000"/>
              </w:rPr>
            </w:pPr>
            <w:r w:rsidRPr="0038344D">
              <w:rPr>
                <w:rFonts w:eastAsia="Times New Roman"/>
                <w:color w:val="000000"/>
              </w:rPr>
              <w:t>UE ACLR</w:t>
            </w:r>
          </w:p>
        </w:tc>
        <w:tc>
          <w:tcPr>
            <w:tcW w:w="2620" w:type="pct"/>
            <w:tcBorders>
              <w:top w:val="nil"/>
              <w:left w:val="nil"/>
              <w:bottom w:val="single" w:sz="4" w:space="0" w:color="auto"/>
              <w:right w:val="single" w:sz="4" w:space="0" w:color="auto"/>
            </w:tcBorders>
            <w:shd w:val="clear" w:color="000000" w:fill="F2F2F2"/>
            <w:vAlign w:val="center"/>
          </w:tcPr>
          <w:p w14:paraId="5231691C" w14:textId="77777777" w:rsidR="003C7447" w:rsidRPr="0038344D" w:rsidRDefault="003C7447" w:rsidP="00E31A1F">
            <w:pPr>
              <w:spacing w:after="0"/>
              <w:rPr>
                <w:rFonts w:eastAsia="Times New Roman"/>
                <w:color w:val="000000"/>
              </w:rPr>
            </w:pPr>
            <w:r w:rsidRPr="0038344D">
              <w:rPr>
                <w:color w:val="000000"/>
              </w:rPr>
              <w:t>30 dBc</w:t>
            </w:r>
          </w:p>
        </w:tc>
      </w:tr>
      <w:tr w:rsidR="003C7447" w:rsidRPr="0038344D" w14:paraId="1BE2782E" w14:textId="77777777" w:rsidTr="003C7447">
        <w:trPr>
          <w:trHeight w:val="98"/>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605E75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88EB5E" w14:textId="77777777" w:rsidR="003C7447" w:rsidRPr="0038344D" w:rsidRDefault="003C7447" w:rsidP="00E31A1F">
            <w:pPr>
              <w:spacing w:after="0"/>
              <w:jc w:val="both"/>
              <w:rPr>
                <w:rFonts w:eastAsia="Times New Roman"/>
                <w:color w:val="000000"/>
              </w:rPr>
            </w:pPr>
            <w:r w:rsidRPr="0038344D">
              <w:rPr>
                <w:rFonts w:eastAsia="Times New Roman"/>
                <w:color w:val="000000"/>
              </w:rPr>
              <w:t>UE ACS</w:t>
            </w:r>
          </w:p>
        </w:tc>
        <w:tc>
          <w:tcPr>
            <w:tcW w:w="2620" w:type="pct"/>
            <w:tcBorders>
              <w:top w:val="nil"/>
              <w:left w:val="nil"/>
              <w:bottom w:val="single" w:sz="4" w:space="0" w:color="auto"/>
              <w:right w:val="single" w:sz="4" w:space="0" w:color="auto"/>
            </w:tcBorders>
            <w:shd w:val="clear" w:color="000000" w:fill="F2F2F2"/>
            <w:vAlign w:val="center"/>
          </w:tcPr>
          <w:p w14:paraId="0EBA4B2B" w14:textId="77777777" w:rsidR="003C7447" w:rsidRPr="0038344D" w:rsidRDefault="003C7447" w:rsidP="00E31A1F">
            <w:pPr>
              <w:spacing w:after="0"/>
              <w:jc w:val="both"/>
              <w:rPr>
                <w:rFonts w:eastAsia="Times New Roman"/>
                <w:color w:val="000000"/>
              </w:rPr>
            </w:pPr>
            <w:r w:rsidRPr="0038344D">
              <w:rPr>
                <w:color w:val="000000"/>
              </w:rPr>
              <w:t>33 dBc</w:t>
            </w:r>
          </w:p>
        </w:tc>
      </w:tr>
      <w:tr w:rsidR="003C7447" w:rsidRPr="0038344D" w14:paraId="526F8CFF" w14:textId="77777777" w:rsidTr="003C7447">
        <w:trPr>
          <w:trHeight w:val="125"/>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A29421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BD97432" w14:textId="77777777" w:rsidR="003C7447" w:rsidRPr="0038344D" w:rsidRDefault="003C7447" w:rsidP="00E31A1F">
            <w:pPr>
              <w:spacing w:after="0"/>
              <w:jc w:val="both"/>
              <w:rPr>
                <w:rFonts w:eastAsia="Times New Roman"/>
                <w:color w:val="000000"/>
              </w:rPr>
            </w:pPr>
            <w:r w:rsidRPr="0038344D">
              <w:rPr>
                <w:rFonts w:eastAsia="Times New Roman"/>
                <w:color w:val="000000"/>
              </w:rPr>
              <w:t>UE IBE</w:t>
            </w:r>
          </w:p>
        </w:tc>
        <w:tc>
          <w:tcPr>
            <w:tcW w:w="2620" w:type="pct"/>
            <w:tcBorders>
              <w:top w:val="nil"/>
              <w:left w:val="nil"/>
              <w:bottom w:val="single" w:sz="4" w:space="0" w:color="auto"/>
              <w:right w:val="single" w:sz="4" w:space="0" w:color="auto"/>
            </w:tcBorders>
            <w:shd w:val="clear" w:color="000000" w:fill="F2F2F2"/>
          </w:tcPr>
          <w:p w14:paraId="604BAE6E"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A.2.X in TR 38.858</w:t>
            </w:r>
          </w:p>
        </w:tc>
      </w:tr>
      <w:tr w:rsidR="003C7447" w:rsidRPr="0038344D" w14:paraId="50D261F7" w14:textId="77777777" w:rsidTr="003C7447">
        <w:trPr>
          <w:trHeight w:val="7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1C810714"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CF94815" w14:textId="77777777" w:rsidR="003C7447" w:rsidRPr="0038344D" w:rsidRDefault="003C7447" w:rsidP="00E31A1F">
            <w:pPr>
              <w:spacing w:after="0"/>
              <w:jc w:val="both"/>
              <w:rPr>
                <w:rFonts w:eastAsia="Times New Roman"/>
                <w:color w:val="000000"/>
              </w:rPr>
            </w:pPr>
            <w:r w:rsidRPr="0038344D">
              <w:rPr>
                <w:rFonts w:eastAsia="Times New Roman"/>
                <w:color w:val="000000"/>
              </w:rPr>
              <w:t>UE ICS</w:t>
            </w:r>
          </w:p>
        </w:tc>
        <w:tc>
          <w:tcPr>
            <w:tcW w:w="2620" w:type="pct"/>
            <w:tcBorders>
              <w:top w:val="nil"/>
              <w:left w:val="nil"/>
              <w:bottom w:val="single" w:sz="4" w:space="0" w:color="auto"/>
              <w:right w:val="single" w:sz="4" w:space="0" w:color="auto"/>
            </w:tcBorders>
            <w:shd w:val="clear" w:color="000000" w:fill="F2F2F2"/>
          </w:tcPr>
          <w:p w14:paraId="224F21DA" w14:textId="77777777" w:rsidR="003C7447" w:rsidRPr="0038344D" w:rsidRDefault="003C7447" w:rsidP="00E31A1F">
            <w:pPr>
              <w:spacing w:after="0"/>
              <w:jc w:val="both"/>
              <w:rPr>
                <w:rFonts w:eastAsia="Times New Roman"/>
                <w:color w:val="000000"/>
              </w:rPr>
            </w:pPr>
            <w:r w:rsidRPr="0038344D">
              <w:rPr>
                <w:rFonts w:eastAsia="Times New Roman"/>
                <w:color w:val="000000"/>
              </w:rPr>
              <w:t>Not Modelled</w:t>
            </w:r>
          </w:p>
        </w:tc>
      </w:tr>
      <w:tr w:rsidR="003C7447" w:rsidRPr="0038344D" w14:paraId="67E31774" w14:textId="77777777" w:rsidTr="003C7447">
        <w:trPr>
          <w:trHeight w:val="278"/>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32051C4B" w14:textId="77777777" w:rsidR="003C7447" w:rsidRPr="0038344D" w:rsidRDefault="003C7447" w:rsidP="00E31A1F">
            <w:pPr>
              <w:spacing w:after="0"/>
              <w:rPr>
                <w:rFonts w:eastAsia="Times New Roman"/>
                <w:color w:val="000000"/>
              </w:rPr>
            </w:pPr>
            <w:r w:rsidRPr="0038344D">
              <w:rPr>
                <w:rFonts w:eastAsia="Times New Roman"/>
                <w:color w:val="000000"/>
              </w:rPr>
              <w:t>D. SBFD subband and slot configurations</w:t>
            </w:r>
          </w:p>
        </w:tc>
        <w:tc>
          <w:tcPr>
            <w:tcW w:w="1255" w:type="pct"/>
            <w:tcBorders>
              <w:top w:val="nil"/>
              <w:left w:val="nil"/>
              <w:bottom w:val="single" w:sz="4" w:space="0" w:color="auto"/>
              <w:right w:val="single" w:sz="4" w:space="0" w:color="auto"/>
            </w:tcBorders>
            <w:shd w:val="clear" w:color="000000" w:fill="F2F2F2"/>
            <w:vAlign w:val="center"/>
            <w:hideMark/>
          </w:tcPr>
          <w:p w14:paraId="091B41BD" w14:textId="77777777" w:rsidR="003C7447" w:rsidRPr="0038344D" w:rsidRDefault="003C7447" w:rsidP="00E31A1F">
            <w:pPr>
              <w:spacing w:after="0"/>
              <w:jc w:val="both"/>
              <w:rPr>
                <w:rFonts w:eastAsia="Times New Roman"/>
                <w:color w:val="000000"/>
              </w:rPr>
            </w:pPr>
            <w:r w:rsidRPr="0038344D">
              <w:rPr>
                <w:rFonts w:eastAsia="Times New Roman"/>
                <w:color w:val="000000"/>
              </w:rPr>
              <w:t>SBFD slot configuration</w:t>
            </w:r>
          </w:p>
        </w:tc>
        <w:tc>
          <w:tcPr>
            <w:tcW w:w="2620" w:type="pct"/>
            <w:tcBorders>
              <w:top w:val="nil"/>
              <w:left w:val="nil"/>
              <w:bottom w:val="single" w:sz="4" w:space="0" w:color="auto"/>
              <w:right w:val="single" w:sz="4" w:space="0" w:color="auto"/>
            </w:tcBorders>
            <w:shd w:val="clear" w:color="000000" w:fill="F2F2F2"/>
          </w:tcPr>
          <w:p w14:paraId="75B5B6FD" w14:textId="77777777" w:rsidR="003C7447" w:rsidRPr="0038344D" w:rsidRDefault="003C7447" w:rsidP="00E31A1F">
            <w:pPr>
              <w:spacing w:after="0"/>
              <w:jc w:val="both"/>
              <w:rPr>
                <w:rFonts w:eastAsia="Times New Roman"/>
                <w:color w:val="000000"/>
              </w:rPr>
            </w:pPr>
            <w:r w:rsidRPr="0038344D">
              <w:rPr>
                <w:rFonts w:eastAsia="Times New Roman"/>
                <w:color w:val="000000"/>
              </w:rPr>
              <w:t>Legacy TDD: {DDDSU}, where S=[10D:2G:2U]</w:t>
            </w:r>
          </w:p>
          <w:p w14:paraId="573A051D" w14:textId="53AB8171" w:rsidR="003C7447" w:rsidRPr="0038344D" w:rsidRDefault="003C7447" w:rsidP="00E31A1F">
            <w:pPr>
              <w:spacing w:after="0"/>
              <w:jc w:val="both"/>
              <w:rPr>
                <w:rFonts w:eastAsia="Times New Roman"/>
                <w:color w:val="000000"/>
              </w:rPr>
            </w:pPr>
            <w:r w:rsidRPr="0038344D">
              <w:rPr>
                <w:rFonts w:eastAsia="Times New Roman"/>
                <w:color w:val="000000"/>
              </w:rPr>
              <w:t>SBFD: XXXXU</w:t>
            </w:r>
            <w:r w:rsidR="0066405C">
              <w:rPr>
                <w:rFonts w:eastAsia="Times New Roman"/>
                <w:color w:val="000000"/>
              </w:rPr>
              <w:t xml:space="preserve"> and DXXXU</w:t>
            </w:r>
          </w:p>
        </w:tc>
      </w:tr>
      <w:tr w:rsidR="003C7447" w:rsidRPr="0038344D" w14:paraId="536726F6" w14:textId="77777777" w:rsidTr="003C7447">
        <w:trPr>
          <w:trHeight w:val="260"/>
          <w:jc w:val="center"/>
        </w:trPr>
        <w:tc>
          <w:tcPr>
            <w:tcW w:w="1125" w:type="pct"/>
            <w:vMerge/>
            <w:tcBorders>
              <w:top w:val="nil"/>
              <w:left w:val="single" w:sz="4" w:space="0" w:color="auto"/>
              <w:bottom w:val="single" w:sz="4" w:space="0" w:color="auto"/>
              <w:right w:val="single" w:sz="4" w:space="0" w:color="auto"/>
            </w:tcBorders>
            <w:vAlign w:val="center"/>
            <w:hideMark/>
          </w:tcPr>
          <w:p w14:paraId="0E07A8E4"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6E6EDF2" w14:textId="77777777" w:rsidR="003C7447" w:rsidRPr="0038344D" w:rsidRDefault="003C7447" w:rsidP="00E31A1F">
            <w:pPr>
              <w:spacing w:after="0"/>
              <w:rPr>
                <w:rFonts w:eastAsia="Times New Roman"/>
                <w:color w:val="000000"/>
              </w:rPr>
            </w:pPr>
            <w:r w:rsidRPr="0038344D">
              <w:rPr>
                <w:rFonts w:eastAsia="Times New Roman"/>
                <w:color w:val="000000"/>
              </w:rPr>
              <w:t>SBFD Subband configuration</w:t>
            </w:r>
          </w:p>
        </w:tc>
        <w:tc>
          <w:tcPr>
            <w:tcW w:w="2620" w:type="pct"/>
            <w:tcBorders>
              <w:top w:val="nil"/>
              <w:left w:val="nil"/>
              <w:bottom w:val="single" w:sz="4" w:space="0" w:color="auto"/>
              <w:right w:val="single" w:sz="4" w:space="0" w:color="auto"/>
            </w:tcBorders>
            <w:shd w:val="clear" w:color="000000" w:fill="F2F2F2"/>
          </w:tcPr>
          <w:p w14:paraId="744342D0" w14:textId="77777777" w:rsidR="003C7447" w:rsidRPr="0038344D" w:rsidRDefault="003C7447" w:rsidP="00E31A1F">
            <w:pPr>
              <w:spacing w:after="0"/>
              <w:jc w:val="both"/>
              <w:rPr>
                <w:rFonts w:eastAsia="Times New Roman"/>
                <w:color w:val="000000"/>
              </w:rPr>
            </w:pPr>
            <w:r w:rsidRPr="0038344D">
              <w:rPr>
                <w:rFonts w:eastAsia="Times New Roman"/>
                <w:color w:val="000000"/>
              </w:rPr>
              <w:t>{DUD}: &lt; ND, NU, NG &gt; = &lt;104, 54, 5&gt;</w:t>
            </w:r>
          </w:p>
        </w:tc>
      </w:tr>
      <w:tr w:rsidR="003C7447" w:rsidRPr="0038344D" w14:paraId="1F95C5D3" w14:textId="77777777" w:rsidTr="003C7447">
        <w:trPr>
          <w:trHeight w:val="290"/>
          <w:jc w:val="center"/>
        </w:trPr>
        <w:tc>
          <w:tcPr>
            <w:tcW w:w="1125" w:type="pct"/>
            <w:vMerge/>
            <w:tcBorders>
              <w:top w:val="nil"/>
              <w:left w:val="single" w:sz="4" w:space="0" w:color="auto"/>
              <w:bottom w:val="single" w:sz="4" w:space="0" w:color="auto"/>
              <w:right w:val="single" w:sz="4" w:space="0" w:color="auto"/>
            </w:tcBorders>
            <w:vAlign w:val="center"/>
            <w:hideMark/>
          </w:tcPr>
          <w:p w14:paraId="374E9FE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E5865E2" w14:textId="77777777" w:rsidR="003C7447" w:rsidRPr="0038344D" w:rsidRDefault="003C7447" w:rsidP="00E31A1F">
            <w:pPr>
              <w:spacing w:after="0"/>
              <w:jc w:val="both"/>
              <w:rPr>
                <w:rFonts w:eastAsia="Times New Roman"/>
                <w:color w:val="000000"/>
              </w:rPr>
            </w:pPr>
            <w:r w:rsidRPr="0038344D">
              <w:rPr>
                <w:rFonts w:eastAsia="Times New Roman"/>
                <w:color w:val="000000"/>
              </w:rPr>
              <w:t>Guard symbols</w:t>
            </w:r>
          </w:p>
        </w:tc>
        <w:tc>
          <w:tcPr>
            <w:tcW w:w="2620" w:type="pct"/>
            <w:tcBorders>
              <w:top w:val="nil"/>
              <w:left w:val="nil"/>
              <w:bottom w:val="single" w:sz="4" w:space="0" w:color="auto"/>
              <w:right w:val="single" w:sz="4" w:space="0" w:color="auto"/>
            </w:tcBorders>
            <w:shd w:val="clear" w:color="000000" w:fill="F2F2F2"/>
          </w:tcPr>
          <w:p w14:paraId="00498591" w14:textId="77777777" w:rsidR="003C7447" w:rsidRPr="0038344D" w:rsidRDefault="003C7447" w:rsidP="00E31A1F">
            <w:pPr>
              <w:spacing w:after="0"/>
              <w:jc w:val="both"/>
              <w:rPr>
                <w:rFonts w:eastAsia="Times New Roman"/>
                <w:color w:val="000000"/>
              </w:rPr>
            </w:pPr>
          </w:p>
        </w:tc>
      </w:tr>
      <w:tr w:rsidR="003C7447" w:rsidRPr="0038344D" w14:paraId="4C985963" w14:textId="77777777" w:rsidTr="003C7447">
        <w:trPr>
          <w:trHeight w:val="125"/>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4FD2E155" w14:textId="77777777" w:rsidR="003C7447" w:rsidRPr="0038344D" w:rsidRDefault="003C7447" w:rsidP="00E31A1F">
            <w:pPr>
              <w:spacing w:after="0"/>
              <w:rPr>
                <w:rFonts w:eastAsia="Times New Roman"/>
                <w:color w:val="000000"/>
              </w:rPr>
            </w:pPr>
            <w:r w:rsidRPr="0038344D">
              <w:rPr>
                <w:rFonts w:eastAsia="Times New Roman"/>
                <w:color w:val="000000"/>
              </w:rPr>
              <w:t xml:space="preserve">E. </w:t>
            </w:r>
            <w:proofErr w:type="spellStart"/>
            <w:r w:rsidRPr="0038344D">
              <w:rPr>
                <w:rFonts w:eastAsia="Times New Roman"/>
                <w:color w:val="000000"/>
              </w:rPr>
              <w:t>Tranmit</w:t>
            </w:r>
            <w:proofErr w:type="spellEnd"/>
            <w:r w:rsidRPr="0038344D">
              <w:rPr>
                <w:rFonts w:eastAsia="Times New Roman"/>
                <w:color w:val="000000"/>
              </w:rPr>
              <w:t xml:space="preserve"> power</w:t>
            </w:r>
          </w:p>
        </w:tc>
        <w:tc>
          <w:tcPr>
            <w:tcW w:w="1255" w:type="pct"/>
            <w:tcBorders>
              <w:top w:val="nil"/>
              <w:left w:val="nil"/>
              <w:bottom w:val="single" w:sz="4" w:space="0" w:color="auto"/>
              <w:right w:val="single" w:sz="4" w:space="0" w:color="auto"/>
            </w:tcBorders>
            <w:shd w:val="clear" w:color="000000" w:fill="F2F2F2"/>
            <w:vAlign w:val="center"/>
            <w:hideMark/>
          </w:tcPr>
          <w:p w14:paraId="681B4C26" w14:textId="77777777" w:rsidR="003C7447" w:rsidRPr="0038344D" w:rsidRDefault="003C7447" w:rsidP="00E31A1F">
            <w:pPr>
              <w:spacing w:after="0"/>
              <w:jc w:val="both"/>
              <w:rPr>
                <w:rFonts w:eastAsia="Times New Roman"/>
                <w:color w:val="000000"/>
              </w:rPr>
            </w:pPr>
            <w:r w:rsidRPr="0038344D">
              <w:rPr>
                <w:rFonts w:eastAsia="Times New Roman"/>
                <w:color w:val="000000"/>
              </w:rPr>
              <w:t>BS transmit power for legacy TDD</w:t>
            </w:r>
          </w:p>
        </w:tc>
        <w:tc>
          <w:tcPr>
            <w:tcW w:w="2620" w:type="pct"/>
            <w:tcBorders>
              <w:top w:val="nil"/>
              <w:left w:val="nil"/>
              <w:bottom w:val="single" w:sz="4" w:space="0" w:color="auto"/>
              <w:right w:val="single" w:sz="4" w:space="0" w:color="auto"/>
            </w:tcBorders>
            <w:shd w:val="clear" w:color="000000" w:fill="F2F2F2"/>
          </w:tcPr>
          <w:p w14:paraId="7A453893" w14:textId="77777777" w:rsidR="003C7447" w:rsidRPr="0038344D" w:rsidRDefault="003C7447" w:rsidP="00E31A1F">
            <w:pPr>
              <w:spacing w:after="0"/>
              <w:jc w:val="both"/>
              <w:rPr>
                <w:rFonts w:eastAsia="Times New Roman"/>
                <w:color w:val="000000"/>
              </w:rPr>
            </w:pPr>
            <w:r w:rsidRPr="0038344D">
              <w:rPr>
                <w:rFonts w:eastAsia="Times New Roman"/>
                <w:color w:val="000000"/>
              </w:rPr>
              <w:t>53 dBm for 100MHz</w:t>
            </w:r>
          </w:p>
        </w:tc>
      </w:tr>
      <w:tr w:rsidR="003C7447" w:rsidRPr="0038344D" w14:paraId="19EBE59E" w14:textId="77777777" w:rsidTr="003C7447">
        <w:trPr>
          <w:trHeight w:val="80"/>
          <w:jc w:val="center"/>
        </w:trPr>
        <w:tc>
          <w:tcPr>
            <w:tcW w:w="1125" w:type="pct"/>
            <w:vMerge/>
            <w:tcBorders>
              <w:top w:val="nil"/>
              <w:left w:val="single" w:sz="4" w:space="0" w:color="auto"/>
              <w:bottom w:val="single" w:sz="4" w:space="0" w:color="auto"/>
              <w:right w:val="single" w:sz="4" w:space="0" w:color="auto"/>
            </w:tcBorders>
            <w:vAlign w:val="center"/>
            <w:hideMark/>
          </w:tcPr>
          <w:p w14:paraId="0BA9F9B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2DDB7A7" w14:textId="77777777" w:rsidR="003C7447" w:rsidRPr="0038344D" w:rsidRDefault="003C7447" w:rsidP="00E31A1F">
            <w:pPr>
              <w:spacing w:after="0"/>
              <w:jc w:val="both"/>
              <w:rPr>
                <w:rFonts w:eastAsia="Times New Roman"/>
                <w:color w:val="000000"/>
              </w:rPr>
            </w:pPr>
            <w:r w:rsidRPr="0038344D">
              <w:rPr>
                <w:rFonts w:eastAsia="Times New Roman"/>
                <w:color w:val="000000"/>
              </w:rPr>
              <w:t>BS transmit power for SBFD</w:t>
            </w:r>
          </w:p>
        </w:tc>
        <w:tc>
          <w:tcPr>
            <w:tcW w:w="2620" w:type="pct"/>
            <w:tcBorders>
              <w:top w:val="nil"/>
              <w:left w:val="nil"/>
              <w:bottom w:val="single" w:sz="4" w:space="0" w:color="auto"/>
              <w:right w:val="single" w:sz="4" w:space="0" w:color="auto"/>
            </w:tcBorders>
            <w:shd w:val="clear" w:color="000000" w:fill="F2F2F2"/>
          </w:tcPr>
          <w:p w14:paraId="5EDB30CC" w14:textId="77777777" w:rsidR="003C7447" w:rsidRPr="0038344D" w:rsidRDefault="003C7447" w:rsidP="00E31A1F">
            <w:pPr>
              <w:spacing w:after="0"/>
              <w:jc w:val="both"/>
              <w:rPr>
                <w:rFonts w:eastAsia="Times New Roman"/>
                <w:color w:val="000000"/>
              </w:rPr>
            </w:pPr>
            <w:r w:rsidRPr="0038344D">
              <w:rPr>
                <w:rFonts w:eastAsia="Times New Roman"/>
                <w:color w:val="000000"/>
              </w:rPr>
              <w:t>Power boosting is not assumed for SBFD symbols compared to DL-only symbols (as in legacy systems)</w:t>
            </w:r>
          </w:p>
        </w:tc>
      </w:tr>
      <w:tr w:rsidR="003C7447" w:rsidRPr="0038344D" w14:paraId="464E2BAF" w14:textId="77777777" w:rsidTr="003C7447">
        <w:trPr>
          <w:trHeight w:val="290"/>
          <w:jc w:val="center"/>
        </w:trPr>
        <w:tc>
          <w:tcPr>
            <w:tcW w:w="1125" w:type="pct"/>
            <w:vMerge/>
            <w:tcBorders>
              <w:top w:val="nil"/>
              <w:left w:val="single" w:sz="4" w:space="0" w:color="auto"/>
              <w:bottom w:val="single" w:sz="4" w:space="0" w:color="auto"/>
              <w:right w:val="single" w:sz="4" w:space="0" w:color="auto"/>
            </w:tcBorders>
            <w:vAlign w:val="center"/>
            <w:hideMark/>
          </w:tcPr>
          <w:p w14:paraId="09D49A45"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C2F0190" w14:textId="77777777" w:rsidR="003C7447" w:rsidRPr="0038344D" w:rsidRDefault="003C7447" w:rsidP="00E31A1F">
            <w:pPr>
              <w:spacing w:after="0"/>
              <w:jc w:val="both"/>
              <w:rPr>
                <w:rFonts w:eastAsia="Times New Roman"/>
                <w:color w:val="000000"/>
              </w:rPr>
            </w:pPr>
            <w:r w:rsidRPr="0038344D">
              <w:rPr>
                <w:rFonts w:eastAsia="Times New Roman"/>
                <w:color w:val="000000"/>
              </w:rPr>
              <w:t>UE Tx power</w:t>
            </w:r>
          </w:p>
        </w:tc>
        <w:tc>
          <w:tcPr>
            <w:tcW w:w="2620" w:type="pct"/>
            <w:tcBorders>
              <w:top w:val="nil"/>
              <w:left w:val="nil"/>
              <w:bottom w:val="single" w:sz="4" w:space="0" w:color="auto"/>
              <w:right w:val="single" w:sz="4" w:space="0" w:color="auto"/>
            </w:tcBorders>
            <w:shd w:val="clear" w:color="000000" w:fill="F2F2F2"/>
            <w:vAlign w:val="center"/>
          </w:tcPr>
          <w:p w14:paraId="725BC980" w14:textId="77777777" w:rsidR="003C7447" w:rsidRPr="0038344D" w:rsidRDefault="003C7447" w:rsidP="00E31A1F">
            <w:pPr>
              <w:spacing w:after="0"/>
              <w:jc w:val="both"/>
              <w:rPr>
                <w:rFonts w:eastAsia="Times New Roman"/>
                <w:color w:val="000000"/>
              </w:rPr>
            </w:pPr>
            <w:r w:rsidRPr="0038344D">
              <w:rPr>
                <w:color w:val="000000"/>
              </w:rPr>
              <w:t>23dBm</w:t>
            </w:r>
          </w:p>
        </w:tc>
      </w:tr>
      <w:tr w:rsidR="003C7447" w:rsidRPr="0038344D" w14:paraId="683FEC2B" w14:textId="77777777" w:rsidTr="003C7447">
        <w:trPr>
          <w:trHeight w:val="7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3FEEBFE7" w14:textId="77777777" w:rsidR="003C7447" w:rsidRPr="0038344D" w:rsidRDefault="003C7447" w:rsidP="00E31A1F">
            <w:pPr>
              <w:spacing w:after="0"/>
              <w:rPr>
                <w:rFonts w:eastAsia="Times New Roman"/>
                <w:color w:val="000000"/>
              </w:rPr>
            </w:pPr>
            <w:r w:rsidRPr="0038344D">
              <w:rPr>
                <w:rFonts w:eastAsia="Times New Roman"/>
                <w:color w:val="000000"/>
              </w:rPr>
              <w:t>F. Antenna configurations</w:t>
            </w:r>
          </w:p>
        </w:tc>
        <w:tc>
          <w:tcPr>
            <w:tcW w:w="1255" w:type="pct"/>
            <w:tcBorders>
              <w:top w:val="nil"/>
              <w:left w:val="nil"/>
              <w:bottom w:val="single" w:sz="4" w:space="0" w:color="auto"/>
              <w:right w:val="single" w:sz="4" w:space="0" w:color="auto"/>
            </w:tcBorders>
            <w:shd w:val="clear" w:color="000000" w:fill="F2F2F2"/>
            <w:vAlign w:val="center"/>
            <w:hideMark/>
          </w:tcPr>
          <w:p w14:paraId="4544C6E7"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configuration for legacy TDD</w:t>
            </w:r>
          </w:p>
        </w:tc>
        <w:tc>
          <w:tcPr>
            <w:tcW w:w="2620" w:type="pct"/>
            <w:tcBorders>
              <w:top w:val="nil"/>
              <w:left w:val="nil"/>
              <w:bottom w:val="single" w:sz="4" w:space="0" w:color="auto"/>
              <w:right w:val="single" w:sz="4" w:space="0" w:color="auto"/>
            </w:tcBorders>
            <w:shd w:val="clear" w:color="000000" w:fill="F2F2F2"/>
            <w:vAlign w:val="center"/>
          </w:tcPr>
          <w:p w14:paraId="7A8F586B" w14:textId="77777777" w:rsidR="003C7447" w:rsidRPr="0038344D" w:rsidRDefault="003C7447" w:rsidP="00E31A1F">
            <w:pPr>
              <w:spacing w:after="0"/>
              <w:jc w:val="both"/>
              <w:rPr>
                <w:rFonts w:eastAsia="Times New Roman"/>
                <w:color w:val="000000"/>
              </w:rPr>
            </w:pPr>
            <w:r w:rsidRPr="0038344D">
              <w:rPr>
                <w:color w:val="000000"/>
              </w:rPr>
              <w:t>(</w:t>
            </w:r>
            <w:proofErr w:type="spellStart"/>
            <w:proofErr w:type="gramStart"/>
            <w:r w:rsidRPr="0038344D">
              <w:rPr>
                <w:color w:val="000000"/>
              </w:rPr>
              <w:t>M,N</w:t>
            </w:r>
            <w:proofErr w:type="gramEnd"/>
            <w:r w:rsidRPr="0038344D">
              <w:rPr>
                <w:color w:val="000000"/>
              </w:rPr>
              <w:t>,P,M</w:t>
            </w:r>
            <w:r w:rsidRPr="0038344D">
              <w:rPr>
                <w:color w:val="000000"/>
                <w:vertAlign w:val="subscript"/>
              </w:rPr>
              <w:t>g</w:t>
            </w:r>
            <w:r w:rsidRPr="0038344D">
              <w:rPr>
                <w:color w:val="000000"/>
              </w:rPr>
              <w:t>,N</w:t>
            </w:r>
            <w:r w:rsidRPr="0038344D">
              <w:rPr>
                <w:color w:val="000000"/>
                <w:vertAlign w:val="subscript"/>
              </w:rPr>
              <w:t>g</w:t>
            </w:r>
            <w:r w:rsidRPr="0038344D">
              <w:rPr>
                <w:color w:val="000000"/>
              </w:rPr>
              <w:t>;M</w:t>
            </w:r>
            <w:r w:rsidRPr="0038344D">
              <w:rPr>
                <w:color w:val="000000"/>
                <w:vertAlign w:val="subscript"/>
              </w:rPr>
              <w:t>p</w:t>
            </w:r>
            <w:r w:rsidRPr="0038344D">
              <w:rPr>
                <w:color w:val="000000"/>
              </w:rPr>
              <w:t>,N</w:t>
            </w:r>
            <w:r w:rsidRPr="0038344D">
              <w:rPr>
                <w:color w:val="000000"/>
                <w:vertAlign w:val="subscript"/>
              </w:rPr>
              <w:t>p</w:t>
            </w:r>
            <w:proofErr w:type="spellEnd"/>
            <w:r w:rsidRPr="0038344D">
              <w:rPr>
                <w:color w:val="000000"/>
              </w:rPr>
              <w:t>)  = (8,8,2,1,1;2,8) , (</w:t>
            </w:r>
            <w:proofErr w:type="spellStart"/>
            <w:r w:rsidRPr="0038344D">
              <w:rPr>
                <w:color w:val="000000"/>
              </w:rPr>
              <w:t>dH,dV</w:t>
            </w:r>
            <w:proofErr w:type="spellEnd"/>
            <w:r w:rsidRPr="0038344D">
              <w:rPr>
                <w:color w:val="000000"/>
              </w:rPr>
              <w:t>) = (0.5, 0.8)λ,  +45°/-45° polarization</w:t>
            </w:r>
          </w:p>
        </w:tc>
      </w:tr>
      <w:tr w:rsidR="003C7447" w:rsidRPr="0038344D" w14:paraId="379EDC14"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77540BA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E50044B"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configuration for SBFD</w:t>
            </w:r>
          </w:p>
        </w:tc>
        <w:tc>
          <w:tcPr>
            <w:tcW w:w="2620" w:type="pct"/>
            <w:tcBorders>
              <w:top w:val="nil"/>
              <w:left w:val="nil"/>
              <w:bottom w:val="single" w:sz="4" w:space="0" w:color="auto"/>
              <w:right w:val="single" w:sz="4" w:space="0" w:color="auto"/>
            </w:tcBorders>
            <w:shd w:val="clear" w:color="000000" w:fill="F2F2F2"/>
          </w:tcPr>
          <w:p w14:paraId="0EC1B08D" w14:textId="2D3D63AA" w:rsidR="003C7447" w:rsidRPr="0038344D" w:rsidRDefault="003C7447" w:rsidP="00E31A1F">
            <w:pPr>
              <w:spacing w:after="0"/>
              <w:jc w:val="both"/>
              <w:rPr>
                <w:rFonts w:eastAsia="Times New Roman"/>
                <w:color w:val="000000"/>
              </w:rPr>
            </w:pPr>
            <w:r w:rsidRPr="0038344D">
              <w:rPr>
                <w:rFonts w:eastAsia="Times New Roman"/>
                <w:color w:val="000000"/>
              </w:rPr>
              <w:t>Twice area</w:t>
            </w:r>
            <w:r w:rsidR="0066405C">
              <w:rPr>
                <w:rFonts w:eastAsia="Times New Roman"/>
                <w:color w:val="000000"/>
              </w:rPr>
              <w:t xml:space="preserve"> </w:t>
            </w:r>
            <w:r w:rsidRPr="0038344D">
              <w:rPr>
                <w:rFonts w:eastAsia="Times New Roman"/>
                <w:color w:val="000000"/>
              </w:rPr>
              <w:t>&amp;</w:t>
            </w:r>
            <w:r w:rsidR="0066405C">
              <w:rPr>
                <w:rFonts w:eastAsia="Times New Roman"/>
                <w:color w:val="000000"/>
              </w:rPr>
              <w:t xml:space="preserve"> </w:t>
            </w:r>
            <w:r w:rsidRPr="0038344D">
              <w:rPr>
                <w:rFonts w:eastAsia="Times New Roman"/>
                <w:color w:val="000000"/>
              </w:rPr>
              <w:t xml:space="preserve">same </w:t>
            </w:r>
            <w:proofErr w:type="spellStart"/>
            <w:r w:rsidRPr="0038344D">
              <w:rPr>
                <w:rFonts w:eastAsia="Times New Roman"/>
                <w:color w:val="000000"/>
              </w:rPr>
              <w:t>TxRUs</w:t>
            </w:r>
            <w:proofErr w:type="spellEnd"/>
            <w:r w:rsidRPr="0038344D">
              <w:rPr>
                <w:rFonts w:eastAsia="Times New Roman"/>
                <w:color w:val="000000"/>
              </w:rPr>
              <w:t xml:space="preserve"> (higher priority): SBFD antenna configuration Option 2</w:t>
            </w:r>
          </w:p>
        </w:tc>
      </w:tr>
      <w:tr w:rsidR="003C7447" w:rsidRPr="0038344D" w14:paraId="35FD64F6" w14:textId="77777777" w:rsidTr="003C7447">
        <w:trPr>
          <w:trHeight w:val="152"/>
          <w:jc w:val="center"/>
        </w:trPr>
        <w:tc>
          <w:tcPr>
            <w:tcW w:w="1125" w:type="pct"/>
            <w:vMerge/>
            <w:tcBorders>
              <w:top w:val="nil"/>
              <w:left w:val="single" w:sz="4" w:space="0" w:color="auto"/>
              <w:bottom w:val="single" w:sz="4" w:space="0" w:color="auto"/>
              <w:right w:val="single" w:sz="4" w:space="0" w:color="auto"/>
            </w:tcBorders>
            <w:vAlign w:val="center"/>
            <w:hideMark/>
          </w:tcPr>
          <w:p w14:paraId="646DB059"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F13324D"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radiation pattern</w:t>
            </w:r>
          </w:p>
        </w:tc>
        <w:tc>
          <w:tcPr>
            <w:tcW w:w="2620" w:type="pct"/>
            <w:tcBorders>
              <w:top w:val="nil"/>
              <w:left w:val="nil"/>
              <w:bottom w:val="single" w:sz="4" w:space="0" w:color="auto"/>
              <w:right w:val="single" w:sz="4" w:space="0" w:color="auto"/>
            </w:tcBorders>
            <w:shd w:val="clear" w:color="000000" w:fill="F2F2F2"/>
          </w:tcPr>
          <w:p w14:paraId="7E7DAA5B" w14:textId="77777777" w:rsidR="003C7447" w:rsidRPr="0038344D" w:rsidRDefault="003C7447" w:rsidP="00E31A1F">
            <w:pPr>
              <w:spacing w:after="0"/>
              <w:jc w:val="both"/>
              <w:rPr>
                <w:rFonts w:eastAsia="Times New Roman"/>
                <w:color w:val="000000"/>
              </w:rPr>
            </w:pPr>
            <w:r w:rsidRPr="0038344D">
              <w:rPr>
                <w:rFonts w:eastAsia="Times New Roman"/>
                <w:color w:val="000000"/>
              </w:rPr>
              <w:t>Table 9 in Report ITU-R M.2412</w:t>
            </w:r>
          </w:p>
        </w:tc>
      </w:tr>
      <w:tr w:rsidR="003C7447" w:rsidRPr="0038344D" w14:paraId="229AE233" w14:textId="77777777" w:rsidTr="003C7447">
        <w:trPr>
          <w:trHeight w:val="323"/>
          <w:jc w:val="center"/>
        </w:trPr>
        <w:tc>
          <w:tcPr>
            <w:tcW w:w="1125" w:type="pct"/>
            <w:vMerge/>
            <w:tcBorders>
              <w:top w:val="nil"/>
              <w:left w:val="single" w:sz="4" w:space="0" w:color="auto"/>
              <w:bottom w:val="single" w:sz="4" w:space="0" w:color="auto"/>
              <w:right w:val="single" w:sz="4" w:space="0" w:color="auto"/>
            </w:tcBorders>
            <w:vAlign w:val="center"/>
            <w:hideMark/>
          </w:tcPr>
          <w:p w14:paraId="55170D9A"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071BDC9" w14:textId="77777777" w:rsidR="003C7447" w:rsidRPr="0038344D" w:rsidRDefault="003C7447" w:rsidP="00E31A1F">
            <w:pPr>
              <w:spacing w:after="0"/>
              <w:jc w:val="both"/>
              <w:rPr>
                <w:rFonts w:eastAsia="Times New Roman"/>
                <w:color w:val="000000"/>
              </w:rPr>
            </w:pPr>
            <w:r w:rsidRPr="0038344D">
              <w:rPr>
                <w:rFonts w:eastAsia="Times New Roman"/>
                <w:color w:val="000000"/>
              </w:rPr>
              <w:t>UE antenna configuration</w:t>
            </w:r>
          </w:p>
        </w:tc>
        <w:tc>
          <w:tcPr>
            <w:tcW w:w="2620" w:type="pct"/>
            <w:tcBorders>
              <w:top w:val="nil"/>
              <w:left w:val="nil"/>
              <w:bottom w:val="single" w:sz="4" w:space="0" w:color="auto"/>
              <w:right w:val="single" w:sz="4" w:space="0" w:color="auto"/>
            </w:tcBorders>
            <w:shd w:val="clear" w:color="000000" w:fill="F2F2F2"/>
          </w:tcPr>
          <w:p w14:paraId="568AB6FD" w14:textId="77777777" w:rsidR="003C7447" w:rsidRPr="0038344D" w:rsidRDefault="003C7447" w:rsidP="00E31A1F">
            <w:pPr>
              <w:spacing w:after="160" w:line="259" w:lineRule="auto"/>
              <w:jc w:val="both"/>
              <w:rPr>
                <w:rFonts w:eastAsiaTheme="minorEastAsia"/>
                <w:color w:val="000000"/>
              </w:rPr>
            </w:pPr>
            <w:r w:rsidRPr="0038344D">
              <w:rPr>
                <w:color w:val="000000"/>
              </w:rPr>
              <w:t>2Tx: (</w:t>
            </w:r>
            <w:proofErr w:type="spellStart"/>
            <w:proofErr w:type="gramStart"/>
            <w:r w:rsidRPr="0038344D">
              <w:rPr>
                <w:color w:val="000000"/>
              </w:rPr>
              <w:t>M,N</w:t>
            </w:r>
            <w:proofErr w:type="gramEnd"/>
            <w:r w:rsidRPr="0038344D">
              <w:rPr>
                <w:color w:val="000000"/>
              </w:rPr>
              <w:t>,P,M</w:t>
            </w:r>
            <w:r w:rsidRPr="0038344D">
              <w:rPr>
                <w:color w:val="000000"/>
                <w:vertAlign w:val="subscript"/>
              </w:rPr>
              <w:t>g</w:t>
            </w:r>
            <w:r w:rsidRPr="0038344D">
              <w:rPr>
                <w:color w:val="000000"/>
              </w:rPr>
              <w:t>,N</w:t>
            </w:r>
            <w:r w:rsidRPr="0038344D">
              <w:rPr>
                <w:color w:val="000000"/>
                <w:vertAlign w:val="subscript"/>
              </w:rPr>
              <w:t>g</w:t>
            </w:r>
            <w:r w:rsidRPr="0038344D">
              <w:rPr>
                <w:color w:val="000000"/>
              </w:rPr>
              <w:t>;M</w:t>
            </w:r>
            <w:r w:rsidRPr="0038344D">
              <w:rPr>
                <w:color w:val="000000"/>
                <w:vertAlign w:val="subscript"/>
              </w:rPr>
              <w:t>p</w:t>
            </w:r>
            <w:r w:rsidRPr="0038344D">
              <w:rPr>
                <w:color w:val="000000"/>
              </w:rPr>
              <w:t>,N</w:t>
            </w:r>
            <w:r w:rsidRPr="0038344D">
              <w:rPr>
                <w:color w:val="000000"/>
                <w:vertAlign w:val="subscript"/>
              </w:rPr>
              <w:t>p</w:t>
            </w:r>
            <w:proofErr w:type="spellEnd"/>
            <w:r w:rsidRPr="0038344D">
              <w:rPr>
                <w:color w:val="000000"/>
              </w:rPr>
              <w:t>) = (1,1,2,1,1;1,1), (</w:t>
            </w:r>
            <w:proofErr w:type="spellStart"/>
            <w:r w:rsidRPr="0038344D">
              <w:rPr>
                <w:color w:val="000000"/>
              </w:rPr>
              <w:t>d</w:t>
            </w:r>
            <w:r w:rsidRPr="0038344D">
              <w:rPr>
                <w:color w:val="000000"/>
                <w:vertAlign w:val="subscript"/>
              </w:rPr>
              <w:t>H</w:t>
            </w:r>
            <w:r w:rsidRPr="0038344D">
              <w:rPr>
                <w:color w:val="000000"/>
              </w:rPr>
              <w:t>,d</w:t>
            </w:r>
            <w:r w:rsidRPr="0038344D">
              <w:rPr>
                <w:color w:val="000000"/>
                <w:vertAlign w:val="subscript"/>
              </w:rPr>
              <w:t>V</w:t>
            </w:r>
            <w:proofErr w:type="spellEnd"/>
            <w:r w:rsidRPr="0038344D">
              <w:rPr>
                <w:color w:val="000000"/>
              </w:rPr>
              <w:t>) = (N/A, N/A)λ, 0°,90° polarization</w:t>
            </w:r>
            <w:r w:rsidRPr="0038344D">
              <w:rPr>
                <w:color w:val="000000"/>
              </w:rPr>
              <w:br/>
              <w:t>4Rx: (</w:t>
            </w:r>
            <w:proofErr w:type="spellStart"/>
            <w:r w:rsidRPr="0038344D">
              <w:rPr>
                <w:color w:val="000000"/>
              </w:rPr>
              <w:t>M,N,P,Mg,Ng;Mp,Np</w:t>
            </w:r>
            <w:proofErr w:type="spellEnd"/>
            <w:r w:rsidRPr="0038344D">
              <w:rPr>
                <w:color w:val="000000"/>
              </w:rPr>
              <w:t>) = (1,2,2,1,1;1,2), (</w:t>
            </w:r>
            <w:proofErr w:type="spellStart"/>
            <w:r w:rsidRPr="0038344D">
              <w:rPr>
                <w:color w:val="000000"/>
              </w:rPr>
              <w:t>dH,dV</w:t>
            </w:r>
            <w:proofErr w:type="spellEnd"/>
            <w:r w:rsidRPr="0038344D">
              <w:rPr>
                <w:color w:val="000000"/>
              </w:rPr>
              <w:t>) = (0.5, N/A)λ, 0°,90° polarization</w:t>
            </w:r>
          </w:p>
        </w:tc>
      </w:tr>
      <w:tr w:rsidR="003C7447" w:rsidRPr="0038344D" w14:paraId="715FE8A9" w14:textId="77777777" w:rsidTr="003C7447">
        <w:trPr>
          <w:trHeight w:val="323"/>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2AE493A6" w14:textId="77777777" w:rsidR="003C7447" w:rsidRPr="0038344D" w:rsidRDefault="003C7447" w:rsidP="00E31A1F">
            <w:pPr>
              <w:spacing w:after="0"/>
              <w:rPr>
                <w:rFonts w:eastAsia="Times New Roman"/>
                <w:color w:val="000000"/>
              </w:rPr>
            </w:pPr>
            <w:r w:rsidRPr="0038344D">
              <w:rPr>
                <w:rFonts w:eastAsia="Times New Roman"/>
                <w:color w:val="000000"/>
              </w:rPr>
              <w:t>G. Traffic model</w:t>
            </w:r>
          </w:p>
        </w:tc>
        <w:tc>
          <w:tcPr>
            <w:tcW w:w="1255" w:type="pct"/>
            <w:tcBorders>
              <w:top w:val="nil"/>
              <w:left w:val="nil"/>
              <w:bottom w:val="single" w:sz="4" w:space="0" w:color="auto"/>
              <w:right w:val="single" w:sz="4" w:space="0" w:color="auto"/>
            </w:tcBorders>
            <w:shd w:val="clear" w:color="000000" w:fill="F2F2F2"/>
            <w:vAlign w:val="center"/>
            <w:hideMark/>
          </w:tcPr>
          <w:p w14:paraId="1E0107F8" w14:textId="77777777" w:rsidR="003C7447" w:rsidRPr="0038344D" w:rsidRDefault="003C7447" w:rsidP="00E31A1F">
            <w:pPr>
              <w:spacing w:after="0"/>
              <w:jc w:val="both"/>
              <w:rPr>
                <w:rFonts w:eastAsia="Times New Roman"/>
                <w:color w:val="000000"/>
              </w:rPr>
            </w:pPr>
            <w:r w:rsidRPr="0038344D">
              <w:rPr>
                <w:rFonts w:eastAsia="Times New Roman"/>
                <w:color w:val="000000"/>
              </w:rPr>
              <w:t>DL/UL traffic assignment for the same UE</w:t>
            </w:r>
          </w:p>
        </w:tc>
        <w:tc>
          <w:tcPr>
            <w:tcW w:w="2620" w:type="pct"/>
            <w:tcBorders>
              <w:top w:val="nil"/>
              <w:left w:val="nil"/>
              <w:bottom w:val="single" w:sz="4" w:space="0" w:color="auto"/>
              <w:right w:val="single" w:sz="4" w:space="0" w:color="auto"/>
            </w:tcBorders>
            <w:shd w:val="clear" w:color="000000" w:fill="F2F2F2"/>
          </w:tcPr>
          <w:p w14:paraId="289B8592" w14:textId="77777777" w:rsidR="003C7447" w:rsidRPr="0038344D" w:rsidRDefault="003C7447" w:rsidP="00E31A1F">
            <w:pPr>
              <w:spacing w:after="0"/>
              <w:jc w:val="both"/>
              <w:rPr>
                <w:rFonts w:eastAsia="Times New Roman"/>
                <w:color w:val="000000"/>
              </w:rPr>
            </w:pPr>
            <w:r w:rsidRPr="0038344D">
              <w:rPr>
                <w:rFonts w:eastAsia="Times New Roman"/>
                <w:color w:val="000000"/>
              </w:rPr>
              <w:t>Option 2: Each UE is assigned both UL traffic and DL traffic</w:t>
            </w:r>
          </w:p>
        </w:tc>
      </w:tr>
      <w:tr w:rsidR="003C7447" w:rsidRPr="0038344D" w14:paraId="2DDA20F6"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076D853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F9B94ED" w14:textId="77777777" w:rsidR="003C7447" w:rsidRPr="0038344D" w:rsidRDefault="003C7447" w:rsidP="00E31A1F">
            <w:pPr>
              <w:spacing w:after="0"/>
              <w:jc w:val="both"/>
              <w:rPr>
                <w:rFonts w:eastAsia="Times New Roman"/>
                <w:color w:val="000000"/>
              </w:rPr>
            </w:pPr>
            <w:r w:rsidRPr="0038344D">
              <w:rPr>
                <w:rFonts w:eastAsia="Times New Roman"/>
                <w:color w:val="000000"/>
              </w:rPr>
              <w:t>DL/UL FTP packet size</w:t>
            </w:r>
          </w:p>
        </w:tc>
        <w:tc>
          <w:tcPr>
            <w:tcW w:w="2620" w:type="pct"/>
            <w:tcBorders>
              <w:top w:val="nil"/>
              <w:left w:val="nil"/>
              <w:bottom w:val="single" w:sz="4" w:space="0" w:color="auto"/>
              <w:right w:val="single" w:sz="4" w:space="0" w:color="auto"/>
            </w:tcBorders>
            <w:shd w:val="clear" w:color="000000" w:fill="F2F2F2"/>
          </w:tcPr>
          <w:p w14:paraId="5EACFFB1" w14:textId="77777777" w:rsidR="003C7447" w:rsidRPr="0038344D" w:rsidRDefault="003C7447" w:rsidP="00E31A1F">
            <w:pPr>
              <w:spacing w:after="0"/>
              <w:jc w:val="both"/>
              <w:rPr>
                <w:rFonts w:eastAsia="Times New Roman"/>
                <w:color w:val="000000"/>
              </w:rPr>
            </w:pPr>
            <w:r w:rsidRPr="0038344D">
              <w:rPr>
                <w:rFonts w:eastAsia="Times New Roman"/>
                <w:color w:val="000000"/>
              </w:rPr>
              <w:t>0.5Mbyte for DL and 0.125 Mbytes for UL</w:t>
            </w:r>
          </w:p>
        </w:tc>
      </w:tr>
      <w:tr w:rsidR="003C7447" w:rsidRPr="0038344D" w14:paraId="74A4342E" w14:textId="77777777" w:rsidTr="003C7447">
        <w:trPr>
          <w:trHeight w:val="332"/>
          <w:jc w:val="center"/>
        </w:trPr>
        <w:tc>
          <w:tcPr>
            <w:tcW w:w="1125" w:type="pct"/>
            <w:vMerge/>
            <w:tcBorders>
              <w:top w:val="nil"/>
              <w:left w:val="single" w:sz="4" w:space="0" w:color="auto"/>
              <w:bottom w:val="single" w:sz="4" w:space="0" w:color="auto"/>
              <w:right w:val="single" w:sz="4" w:space="0" w:color="auto"/>
            </w:tcBorders>
            <w:vAlign w:val="center"/>
            <w:hideMark/>
          </w:tcPr>
          <w:p w14:paraId="242F5A4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7A738A0" w14:textId="77777777" w:rsidR="003C7447" w:rsidRPr="0038344D" w:rsidRDefault="003C7447" w:rsidP="00E31A1F">
            <w:pPr>
              <w:spacing w:after="0"/>
              <w:rPr>
                <w:rFonts w:eastAsia="Times New Roman"/>
                <w:color w:val="000000"/>
              </w:rPr>
            </w:pPr>
            <w:r w:rsidRPr="0038344D">
              <w:rPr>
                <w:rFonts w:eastAsia="Times New Roman"/>
                <w:color w:val="000000"/>
              </w:rPr>
              <w:t>DL/UL traffic load for legacy TDD</w:t>
            </w:r>
          </w:p>
        </w:tc>
        <w:tc>
          <w:tcPr>
            <w:tcW w:w="2620" w:type="pct"/>
            <w:tcBorders>
              <w:top w:val="nil"/>
              <w:left w:val="nil"/>
              <w:bottom w:val="single" w:sz="4" w:space="0" w:color="auto"/>
              <w:right w:val="single" w:sz="4" w:space="0" w:color="auto"/>
            </w:tcBorders>
            <w:shd w:val="clear" w:color="000000" w:fill="F2F2F2"/>
          </w:tcPr>
          <w:p w14:paraId="75341C00" w14:textId="77777777" w:rsidR="003C7447" w:rsidRPr="0038344D" w:rsidRDefault="003C7447" w:rsidP="00E31A1F">
            <w:pPr>
              <w:spacing w:after="0"/>
              <w:rPr>
                <w:rFonts w:eastAsia="Times New Roman"/>
                <w:color w:val="000000"/>
              </w:rPr>
            </w:pPr>
            <w:r w:rsidRPr="0038344D">
              <w:rPr>
                <w:rFonts w:eastAsia="Times New Roman"/>
                <w:color w:val="000000"/>
              </w:rPr>
              <w:t>Low load (Type-2 RU: &lt; 10%)</w:t>
            </w:r>
          </w:p>
          <w:p w14:paraId="6B232FF2" w14:textId="77777777" w:rsidR="003C7447" w:rsidRPr="0038344D" w:rsidRDefault="003C7447" w:rsidP="00E31A1F">
            <w:pPr>
              <w:spacing w:after="0"/>
              <w:rPr>
                <w:rFonts w:eastAsia="Times New Roman"/>
                <w:color w:val="000000"/>
              </w:rPr>
            </w:pPr>
            <w:r w:rsidRPr="0038344D">
              <w:rPr>
                <w:rFonts w:eastAsia="Times New Roman"/>
                <w:color w:val="000000"/>
              </w:rPr>
              <w:t>Medium load (Type-2 RU: 20%-40%)</w:t>
            </w:r>
          </w:p>
          <w:p w14:paraId="3FF3522C" w14:textId="77777777" w:rsidR="003C7447" w:rsidRPr="0038344D" w:rsidRDefault="003C7447" w:rsidP="00E31A1F">
            <w:pPr>
              <w:spacing w:after="0"/>
              <w:rPr>
                <w:rFonts w:eastAsia="Times New Roman"/>
                <w:color w:val="000000"/>
              </w:rPr>
            </w:pPr>
            <w:r w:rsidRPr="0038344D">
              <w:rPr>
                <w:rFonts w:eastAsia="Times New Roman"/>
                <w:color w:val="000000"/>
              </w:rPr>
              <w:t>High load (Type-2 RU: &gt;= 50%)</w:t>
            </w:r>
          </w:p>
        </w:tc>
      </w:tr>
      <w:tr w:rsidR="003C7447" w:rsidRPr="0038344D" w14:paraId="76453B78" w14:textId="77777777" w:rsidTr="003C7447">
        <w:trPr>
          <w:trHeight w:val="8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5A72AC84" w14:textId="77777777" w:rsidR="003C7447" w:rsidRPr="0038344D" w:rsidRDefault="003C7447" w:rsidP="00E31A1F">
            <w:pPr>
              <w:spacing w:after="0"/>
              <w:rPr>
                <w:rFonts w:eastAsia="Times New Roman"/>
                <w:color w:val="000000"/>
              </w:rPr>
            </w:pPr>
            <w:r w:rsidRPr="0038344D">
              <w:rPr>
                <w:rFonts w:eastAsia="Times New Roman"/>
                <w:color w:val="000000"/>
              </w:rPr>
              <w:t>H. Channel model</w:t>
            </w:r>
          </w:p>
        </w:tc>
        <w:tc>
          <w:tcPr>
            <w:tcW w:w="1255" w:type="pct"/>
            <w:tcBorders>
              <w:top w:val="nil"/>
              <w:left w:val="nil"/>
              <w:bottom w:val="single" w:sz="4" w:space="0" w:color="auto"/>
              <w:right w:val="single" w:sz="4" w:space="0" w:color="auto"/>
            </w:tcBorders>
            <w:shd w:val="clear" w:color="000000" w:fill="F2F2F2"/>
            <w:vAlign w:val="center"/>
            <w:hideMark/>
          </w:tcPr>
          <w:p w14:paraId="7C511BB1" w14:textId="77777777" w:rsidR="003C7447" w:rsidRPr="0038344D" w:rsidRDefault="003C7447" w:rsidP="00E31A1F">
            <w:pPr>
              <w:spacing w:after="0"/>
              <w:jc w:val="both"/>
              <w:rPr>
                <w:rFonts w:eastAsia="Times New Roman"/>
                <w:color w:val="000000"/>
              </w:rPr>
            </w:pPr>
            <w:r w:rsidRPr="0038344D">
              <w:rPr>
                <w:rFonts w:eastAsia="Times New Roman"/>
                <w:color w:val="000000"/>
              </w:rPr>
              <w:t>gNB-UE</w:t>
            </w:r>
          </w:p>
        </w:tc>
        <w:tc>
          <w:tcPr>
            <w:tcW w:w="2620" w:type="pct"/>
            <w:tcBorders>
              <w:top w:val="nil"/>
              <w:left w:val="nil"/>
              <w:bottom w:val="single" w:sz="4" w:space="0" w:color="auto"/>
              <w:right w:val="single" w:sz="4" w:space="0" w:color="auto"/>
            </w:tcBorders>
            <w:shd w:val="clear" w:color="000000" w:fill="F2F2F2"/>
          </w:tcPr>
          <w:p w14:paraId="4EA04A0A"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A.3 in TR 38.858</w:t>
            </w:r>
          </w:p>
        </w:tc>
      </w:tr>
      <w:tr w:rsidR="003C7447" w:rsidRPr="0038344D" w14:paraId="69F45F43" w14:textId="77777777" w:rsidTr="003C7447">
        <w:trPr>
          <w:trHeight w:val="197"/>
          <w:jc w:val="center"/>
        </w:trPr>
        <w:tc>
          <w:tcPr>
            <w:tcW w:w="1125" w:type="pct"/>
            <w:vMerge/>
            <w:tcBorders>
              <w:top w:val="nil"/>
              <w:left w:val="single" w:sz="4" w:space="0" w:color="auto"/>
              <w:bottom w:val="single" w:sz="4" w:space="0" w:color="auto"/>
              <w:right w:val="single" w:sz="4" w:space="0" w:color="auto"/>
            </w:tcBorders>
            <w:vAlign w:val="center"/>
            <w:hideMark/>
          </w:tcPr>
          <w:p w14:paraId="590762A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B5F9408" w14:textId="77777777" w:rsidR="003C7447" w:rsidRPr="0038344D" w:rsidRDefault="003C7447" w:rsidP="00E31A1F">
            <w:pPr>
              <w:spacing w:after="0"/>
              <w:jc w:val="both"/>
              <w:rPr>
                <w:rFonts w:eastAsia="Times New Roman"/>
                <w:color w:val="000000"/>
              </w:rPr>
            </w:pPr>
            <w:r w:rsidRPr="0038344D">
              <w:rPr>
                <w:rFonts w:eastAsia="Times New Roman"/>
                <w:color w:val="000000"/>
              </w:rPr>
              <w:t>gNB-gNB</w:t>
            </w:r>
          </w:p>
        </w:tc>
        <w:tc>
          <w:tcPr>
            <w:tcW w:w="2620" w:type="pct"/>
            <w:tcBorders>
              <w:top w:val="nil"/>
              <w:left w:val="nil"/>
              <w:bottom w:val="single" w:sz="4" w:space="0" w:color="auto"/>
              <w:right w:val="single" w:sz="4" w:space="0" w:color="auto"/>
            </w:tcBorders>
            <w:shd w:val="clear" w:color="000000" w:fill="F2F2F2"/>
          </w:tcPr>
          <w:p w14:paraId="6CBEACB4" w14:textId="77777777" w:rsidR="003C7447" w:rsidRPr="0038344D" w:rsidRDefault="003C7447" w:rsidP="00E31A1F">
            <w:pPr>
              <w:spacing w:after="0"/>
              <w:jc w:val="both"/>
              <w:rPr>
                <w:rFonts w:eastAsia="Times New Roman"/>
                <w:color w:val="000000"/>
              </w:rPr>
            </w:pPr>
            <w:r w:rsidRPr="0038344D">
              <w:rPr>
                <w:rFonts w:eastAsia="Times New Roman"/>
                <w:color w:val="000000"/>
              </w:rPr>
              <w:t>Option2: Large scale fading only</w:t>
            </w:r>
          </w:p>
        </w:tc>
      </w:tr>
      <w:tr w:rsidR="003C7447" w:rsidRPr="0038344D" w14:paraId="3FEF67F9" w14:textId="77777777" w:rsidTr="003C7447">
        <w:trPr>
          <w:trHeight w:val="143"/>
          <w:jc w:val="center"/>
        </w:trPr>
        <w:tc>
          <w:tcPr>
            <w:tcW w:w="1125" w:type="pct"/>
            <w:vMerge/>
            <w:tcBorders>
              <w:top w:val="nil"/>
              <w:left w:val="single" w:sz="4" w:space="0" w:color="auto"/>
              <w:bottom w:val="single" w:sz="4" w:space="0" w:color="auto"/>
              <w:right w:val="single" w:sz="4" w:space="0" w:color="auto"/>
            </w:tcBorders>
            <w:vAlign w:val="center"/>
            <w:hideMark/>
          </w:tcPr>
          <w:p w14:paraId="5EF7808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809B5AB" w14:textId="77777777" w:rsidR="003C7447" w:rsidRPr="0038344D" w:rsidRDefault="003C7447" w:rsidP="00E31A1F">
            <w:pPr>
              <w:spacing w:after="0"/>
              <w:jc w:val="both"/>
              <w:rPr>
                <w:rFonts w:eastAsia="Times New Roman"/>
                <w:color w:val="000000"/>
              </w:rPr>
            </w:pPr>
            <w:r w:rsidRPr="0038344D">
              <w:rPr>
                <w:rFonts w:eastAsia="Times New Roman"/>
                <w:color w:val="000000"/>
              </w:rPr>
              <w:t>UE-UE</w:t>
            </w:r>
          </w:p>
        </w:tc>
        <w:tc>
          <w:tcPr>
            <w:tcW w:w="2620" w:type="pct"/>
            <w:tcBorders>
              <w:top w:val="nil"/>
              <w:left w:val="nil"/>
              <w:bottom w:val="single" w:sz="4" w:space="0" w:color="auto"/>
              <w:right w:val="single" w:sz="4" w:space="0" w:color="auto"/>
            </w:tcBorders>
            <w:shd w:val="clear" w:color="000000" w:fill="F2F2F2"/>
          </w:tcPr>
          <w:p w14:paraId="078B550A"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A.3 in TR 38.858</w:t>
            </w:r>
          </w:p>
          <w:p w14:paraId="074A140A" w14:textId="77777777" w:rsidR="003C7447" w:rsidRPr="0038344D" w:rsidRDefault="003C7447" w:rsidP="00E31A1F">
            <w:pPr>
              <w:spacing w:after="0"/>
              <w:jc w:val="both"/>
              <w:rPr>
                <w:rFonts w:eastAsia="Times New Roman"/>
                <w:color w:val="000000"/>
              </w:rPr>
            </w:pPr>
            <w:r w:rsidRPr="0038344D">
              <w:rPr>
                <w:rFonts w:eastAsia="Times New Roman"/>
                <w:color w:val="000000"/>
              </w:rPr>
              <w:t>Option2:</w:t>
            </w:r>
            <w:r>
              <w:rPr>
                <w:rFonts w:eastAsia="Times New Roman"/>
                <w:color w:val="000000"/>
              </w:rPr>
              <w:t xml:space="preserve"> </w:t>
            </w:r>
            <w:r w:rsidRPr="0038344D">
              <w:rPr>
                <w:rFonts w:eastAsia="Times New Roman"/>
                <w:color w:val="000000"/>
              </w:rPr>
              <w:t>Large scale fading only</w:t>
            </w:r>
          </w:p>
        </w:tc>
      </w:tr>
      <w:tr w:rsidR="003C7447" w:rsidRPr="0038344D" w14:paraId="0256E006"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5E7498F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A1D2FF2" w14:textId="77777777" w:rsidR="003C7447" w:rsidRPr="0038344D" w:rsidRDefault="003C7447" w:rsidP="00E31A1F">
            <w:pPr>
              <w:spacing w:after="0"/>
              <w:jc w:val="both"/>
              <w:rPr>
                <w:rFonts w:eastAsia="Times New Roman"/>
                <w:color w:val="000000"/>
              </w:rPr>
            </w:pPr>
            <w:r w:rsidRPr="0038344D">
              <w:rPr>
                <w:rFonts w:eastAsia="Times New Roman"/>
                <w:color w:val="000000"/>
              </w:rPr>
              <w:t>UE-UE details</w:t>
            </w:r>
          </w:p>
        </w:tc>
        <w:tc>
          <w:tcPr>
            <w:tcW w:w="2620" w:type="pct"/>
            <w:tcBorders>
              <w:top w:val="nil"/>
              <w:left w:val="nil"/>
              <w:bottom w:val="single" w:sz="4" w:space="0" w:color="auto"/>
              <w:right w:val="single" w:sz="4" w:space="0" w:color="auto"/>
            </w:tcBorders>
            <w:shd w:val="clear" w:color="000000" w:fill="F2F2F2"/>
          </w:tcPr>
          <w:p w14:paraId="0CC52631" w14:textId="77777777" w:rsidR="003C7447" w:rsidRPr="0038344D" w:rsidRDefault="003C7447" w:rsidP="00E31A1F">
            <w:pPr>
              <w:spacing w:after="0"/>
              <w:jc w:val="both"/>
              <w:rPr>
                <w:rFonts w:eastAsia="Times New Roman"/>
                <w:color w:val="000000"/>
              </w:rPr>
            </w:pPr>
            <w:r w:rsidRPr="0038344D">
              <w:rPr>
                <w:rFonts w:eastAsia="Times New Roman"/>
                <w:color w:val="000000"/>
              </w:rPr>
              <w:t>TR 38.901</w:t>
            </w:r>
          </w:p>
        </w:tc>
      </w:tr>
      <w:tr w:rsidR="003C7447" w:rsidRPr="0038344D" w14:paraId="4705722B" w14:textId="77777777" w:rsidTr="003C7447">
        <w:trPr>
          <w:trHeight w:val="70"/>
          <w:jc w:val="center"/>
        </w:trPr>
        <w:tc>
          <w:tcPr>
            <w:tcW w:w="1125"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9DCFED3" w14:textId="77777777" w:rsidR="003C7447" w:rsidRPr="0038344D" w:rsidRDefault="003C7447" w:rsidP="00E31A1F">
            <w:pPr>
              <w:spacing w:after="0"/>
              <w:rPr>
                <w:rFonts w:eastAsia="Times New Roman"/>
                <w:color w:val="000000"/>
              </w:rPr>
            </w:pPr>
            <w:r w:rsidRPr="0038344D">
              <w:rPr>
                <w:rFonts w:eastAsia="Times New Roman"/>
                <w:color w:val="000000"/>
              </w:rPr>
              <w:t>I. Others</w:t>
            </w:r>
          </w:p>
        </w:tc>
        <w:tc>
          <w:tcPr>
            <w:tcW w:w="1255" w:type="pct"/>
            <w:tcBorders>
              <w:top w:val="nil"/>
              <w:left w:val="nil"/>
              <w:bottom w:val="single" w:sz="4" w:space="0" w:color="auto"/>
              <w:right w:val="single" w:sz="4" w:space="0" w:color="auto"/>
            </w:tcBorders>
            <w:shd w:val="clear" w:color="000000" w:fill="F2F2F2"/>
            <w:vAlign w:val="center"/>
            <w:hideMark/>
          </w:tcPr>
          <w:p w14:paraId="0E28CAC9" w14:textId="77777777" w:rsidR="003C7447" w:rsidRPr="0038344D" w:rsidRDefault="003C7447" w:rsidP="00E31A1F">
            <w:pPr>
              <w:spacing w:after="0"/>
              <w:jc w:val="both"/>
              <w:rPr>
                <w:rFonts w:eastAsia="Times New Roman"/>
                <w:color w:val="000000"/>
              </w:rPr>
            </w:pPr>
            <w:r w:rsidRPr="0038344D">
              <w:rPr>
                <w:rFonts w:eastAsia="Times New Roman"/>
                <w:color w:val="000000"/>
              </w:rPr>
              <w:t>BS receiver noise figure</w:t>
            </w:r>
          </w:p>
        </w:tc>
        <w:tc>
          <w:tcPr>
            <w:tcW w:w="2620" w:type="pct"/>
            <w:tcBorders>
              <w:top w:val="nil"/>
              <w:left w:val="nil"/>
              <w:bottom w:val="single" w:sz="4" w:space="0" w:color="auto"/>
              <w:right w:val="single" w:sz="4" w:space="0" w:color="auto"/>
            </w:tcBorders>
            <w:shd w:val="clear" w:color="000000" w:fill="F2F2F2"/>
            <w:vAlign w:val="center"/>
          </w:tcPr>
          <w:p w14:paraId="4DF83B3D" w14:textId="77777777" w:rsidR="003C7447" w:rsidRPr="0038344D" w:rsidRDefault="003C7447" w:rsidP="00E31A1F">
            <w:pPr>
              <w:spacing w:after="0"/>
              <w:jc w:val="both"/>
              <w:rPr>
                <w:rFonts w:eastAsia="Times New Roman"/>
                <w:color w:val="000000"/>
              </w:rPr>
            </w:pPr>
            <w:r w:rsidRPr="0038344D">
              <w:rPr>
                <w:color w:val="000000"/>
              </w:rPr>
              <w:t>5dB</w:t>
            </w:r>
          </w:p>
        </w:tc>
      </w:tr>
      <w:tr w:rsidR="003C7447" w:rsidRPr="0038344D" w14:paraId="33F75829" w14:textId="77777777" w:rsidTr="003C7447">
        <w:trPr>
          <w:trHeight w:val="98"/>
          <w:jc w:val="center"/>
        </w:trPr>
        <w:tc>
          <w:tcPr>
            <w:tcW w:w="1125" w:type="pct"/>
            <w:vMerge/>
            <w:tcBorders>
              <w:top w:val="nil"/>
              <w:left w:val="single" w:sz="4" w:space="0" w:color="auto"/>
              <w:bottom w:val="single" w:sz="4" w:space="0" w:color="000000"/>
              <w:right w:val="single" w:sz="4" w:space="0" w:color="auto"/>
            </w:tcBorders>
            <w:vAlign w:val="center"/>
            <w:hideMark/>
          </w:tcPr>
          <w:p w14:paraId="36F9C1C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68AAC55" w14:textId="77777777" w:rsidR="003C7447" w:rsidRPr="0038344D" w:rsidRDefault="003C7447" w:rsidP="00E31A1F">
            <w:pPr>
              <w:spacing w:after="0"/>
              <w:jc w:val="both"/>
              <w:rPr>
                <w:rFonts w:eastAsia="Times New Roman"/>
                <w:color w:val="000000"/>
              </w:rPr>
            </w:pPr>
            <w:r w:rsidRPr="0038344D">
              <w:rPr>
                <w:rFonts w:eastAsia="Times New Roman"/>
                <w:color w:val="000000"/>
              </w:rPr>
              <w:t>UE receiver noise figure</w:t>
            </w:r>
          </w:p>
        </w:tc>
        <w:tc>
          <w:tcPr>
            <w:tcW w:w="2620" w:type="pct"/>
            <w:tcBorders>
              <w:top w:val="nil"/>
              <w:left w:val="nil"/>
              <w:bottom w:val="single" w:sz="4" w:space="0" w:color="auto"/>
              <w:right w:val="single" w:sz="4" w:space="0" w:color="auto"/>
            </w:tcBorders>
            <w:shd w:val="clear" w:color="000000" w:fill="F2F2F2"/>
            <w:vAlign w:val="center"/>
          </w:tcPr>
          <w:p w14:paraId="3101FA98" w14:textId="77777777" w:rsidR="003C7447" w:rsidRPr="0038344D" w:rsidRDefault="003C7447" w:rsidP="00E31A1F">
            <w:pPr>
              <w:spacing w:after="0"/>
              <w:jc w:val="both"/>
              <w:rPr>
                <w:rFonts w:eastAsia="Times New Roman"/>
                <w:color w:val="000000"/>
              </w:rPr>
            </w:pPr>
            <w:r w:rsidRPr="0038344D">
              <w:rPr>
                <w:color w:val="000000"/>
              </w:rPr>
              <w:t>9 dB</w:t>
            </w:r>
          </w:p>
        </w:tc>
      </w:tr>
      <w:tr w:rsidR="003C7447" w:rsidRPr="0038344D" w14:paraId="2276417A" w14:textId="77777777" w:rsidTr="003C7447">
        <w:trPr>
          <w:trHeight w:val="215"/>
          <w:jc w:val="center"/>
        </w:trPr>
        <w:tc>
          <w:tcPr>
            <w:tcW w:w="1125" w:type="pct"/>
            <w:vMerge/>
            <w:tcBorders>
              <w:top w:val="nil"/>
              <w:left w:val="single" w:sz="4" w:space="0" w:color="auto"/>
              <w:bottom w:val="single" w:sz="4" w:space="0" w:color="000000"/>
              <w:right w:val="single" w:sz="4" w:space="0" w:color="auto"/>
            </w:tcBorders>
            <w:vAlign w:val="center"/>
            <w:hideMark/>
          </w:tcPr>
          <w:p w14:paraId="32FDE68D"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18277E7" w14:textId="77777777" w:rsidR="003C7447" w:rsidRPr="0038344D" w:rsidRDefault="003C7447" w:rsidP="00E31A1F">
            <w:pPr>
              <w:spacing w:after="0"/>
              <w:jc w:val="both"/>
              <w:rPr>
                <w:rFonts w:eastAsia="Times New Roman"/>
                <w:color w:val="000000"/>
              </w:rPr>
            </w:pPr>
            <w:r w:rsidRPr="0038344D">
              <w:rPr>
                <w:rFonts w:eastAsia="Times New Roman"/>
                <w:color w:val="000000"/>
              </w:rPr>
              <w:t>Open loop power control parameters</w:t>
            </w:r>
          </w:p>
        </w:tc>
        <w:tc>
          <w:tcPr>
            <w:tcW w:w="2620" w:type="pct"/>
            <w:tcBorders>
              <w:top w:val="nil"/>
              <w:left w:val="nil"/>
              <w:bottom w:val="single" w:sz="4" w:space="0" w:color="auto"/>
              <w:right w:val="single" w:sz="4" w:space="0" w:color="auto"/>
            </w:tcBorders>
            <w:shd w:val="clear" w:color="000000" w:fill="F2F2F2"/>
            <w:vAlign w:val="center"/>
          </w:tcPr>
          <w:p w14:paraId="153EBA1A" w14:textId="77777777" w:rsidR="003C7447" w:rsidRPr="0038344D" w:rsidRDefault="003C7447" w:rsidP="00E31A1F">
            <w:pPr>
              <w:spacing w:after="0"/>
              <w:jc w:val="both"/>
              <w:rPr>
                <w:rFonts w:eastAsia="Times New Roman"/>
                <w:color w:val="000000"/>
              </w:rPr>
            </w:pPr>
            <w:r w:rsidRPr="0038344D">
              <w:rPr>
                <w:color w:val="000000"/>
              </w:rPr>
              <w:t xml:space="preserve">P0= -80 dBm, alpha = 0.8 </w:t>
            </w:r>
          </w:p>
        </w:tc>
      </w:tr>
      <w:tr w:rsidR="003C7447" w:rsidRPr="0038344D" w14:paraId="0CAF8784" w14:textId="77777777" w:rsidTr="003C7447">
        <w:trPr>
          <w:trHeight w:val="107"/>
          <w:jc w:val="center"/>
        </w:trPr>
        <w:tc>
          <w:tcPr>
            <w:tcW w:w="1125" w:type="pct"/>
            <w:vMerge/>
            <w:tcBorders>
              <w:top w:val="nil"/>
              <w:left w:val="single" w:sz="4" w:space="0" w:color="auto"/>
              <w:bottom w:val="single" w:sz="4" w:space="0" w:color="000000"/>
              <w:right w:val="single" w:sz="4" w:space="0" w:color="auto"/>
            </w:tcBorders>
            <w:vAlign w:val="center"/>
            <w:hideMark/>
          </w:tcPr>
          <w:p w14:paraId="2DBAAA7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D2AFD42" w14:textId="77777777" w:rsidR="003C7447" w:rsidRPr="0038344D" w:rsidRDefault="003C7447" w:rsidP="00E31A1F">
            <w:pPr>
              <w:spacing w:after="0"/>
              <w:jc w:val="both"/>
              <w:rPr>
                <w:rFonts w:eastAsia="Times New Roman"/>
                <w:color w:val="000000"/>
              </w:rPr>
            </w:pPr>
            <w:r w:rsidRPr="0038344D">
              <w:rPr>
                <w:rFonts w:eastAsia="Times New Roman"/>
                <w:color w:val="000000"/>
              </w:rPr>
              <w:t>UE receiver</w:t>
            </w:r>
          </w:p>
        </w:tc>
        <w:tc>
          <w:tcPr>
            <w:tcW w:w="2620" w:type="pct"/>
            <w:tcBorders>
              <w:top w:val="nil"/>
              <w:left w:val="nil"/>
              <w:bottom w:val="single" w:sz="4" w:space="0" w:color="auto"/>
              <w:right w:val="single" w:sz="4" w:space="0" w:color="auto"/>
            </w:tcBorders>
            <w:shd w:val="clear" w:color="000000" w:fill="F2F2F2"/>
            <w:vAlign w:val="center"/>
          </w:tcPr>
          <w:p w14:paraId="2542BF3F" w14:textId="77777777" w:rsidR="003C7447" w:rsidRPr="0038344D" w:rsidRDefault="003C7447" w:rsidP="00E31A1F">
            <w:pPr>
              <w:spacing w:after="0"/>
              <w:jc w:val="both"/>
              <w:rPr>
                <w:rFonts w:eastAsia="Times New Roman"/>
                <w:color w:val="000000"/>
              </w:rPr>
            </w:pPr>
            <w:r w:rsidRPr="0038344D">
              <w:rPr>
                <w:color w:val="000000"/>
              </w:rPr>
              <w:t>MMSE-IRC</w:t>
            </w:r>
          </w:p>
        </w:tc>
      </w:tr>
      <w:tr w:rsidR="003C7447" w:rsidRPr="0038344D" w14:paraId="7A79EB5C" w14:textId="77777777" w:rsidTr="003C7447">
        <w:trPr>
          <w:trHeight w:val="70"/>
          <w:jc w:val="center"/>
        </w:trPr>
        <w:tc>
          <w:tcPr>
            <w:tcW w:w="1125" w:type="pct"/>
            <w:vMerge/>
            <w:tcBorders>
              <w:top w:val="nil"/>
              <w:left w:val="single" w:sz="4" w:space="0" w:color="auto"/>
              <w:bottom w:val="single" w:sz="4" w:space="0" w:color="000000"/>
              <w:right w:val="single" w:sz="4" w:space="0" w:color="auto"/>
            </w:tcBorders>
            <w:vAlign w:val="center"/>
            <w:hideMark/>
          </w:tcPr>
          <w:p w14:paraId="44EE8C3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E8551AE" w14:textId="77777777" w:rsidR="003C7447" w:rsidRPr="0038344D" w:rsidRDefault="003C7447" w:rsidP="00E31A1F">
            <w:pPr>
              <w:spacing w:after="0"/>
              <w:jc w:val="both"/>
              <w:rPr>
                <w:rFonts w:eastAsia="Times New Roman"/>
                <w:color w:val="000000"/>
              </w:rPr>
            </w:pPr>
            <w:r w:rsidRPr="0038344D">
              <w:rPr>
                <w:rFonts w:eastAsia="Times New Roman"/>
                <w:color w:val="000000"/>
              </w:rPr>
              <w:t>Feedback assumption</w:t>
            </w:r>
          </w:p>
        </w:tc>
        <w:tc>
          <w:tcPr>
            <w:tcW w:w="2620" w:type="pct"/>
            <w:tcBorders>
              <w:top w:val="nil"/>
              <w:left w:val="nil"/>
              <w:bottom w:val="single" w:sz="4" w:space="0" w:color="auto"/>
              <w:right w:val="single" w:sz="4" w:space="0" w:color="auto"/>
            </w:tcBorders>
            <w:shd w:val="clear" w:color="000000" w:fill="F2F2F2"/>
            <w:vAlign w:val="center"/>
          </w:tcPr>
          <w:p w14:paraId="2B9B28D3" w14:textId="77777777" w:rsidR="003C7447" w:rsidRPr="0038344D" w:rsidRDefault="003C7447" w:rsidP="00E31A1F">
            <w:pPr>
              <w:spacing w:after="0"/>
              <w:jc w:val="both"/>
              <w:rPr>
                <w:rFonts w:eastAsia="Times New Roman"/>
                <w:color w:val="000000"/>
              </w:rPr>
            </w:pPr>
            <w:r w:rsidRPr="0038344D">
              <w:rPr>
                <w:color w:val="000000"/>
              </w:rPr>
              <w:t>Realistic</w:t>
            </w:r>
          </w:p>
        </w:tc>
      </w:tr>
      <w:tr w:rsidR="003C7447" w:rsidRPr="0038344D" w14:paraId="05B429A9" w14:textId="77777777" w:rsidTr="003C7447">
        <w:trPr>
          <w:trHeight w:val="260"/>
          <w:jc w:val="center"/>
        </w:trPr>
        <w:tc>
          <w:tcPr>
            <w:tcW w:w="1125" w:type="pct"/>
            <w:vMerge/>
            <w:tcBorders>
              <w:top w:val="nil"/>
              <w:left w:val="single" w:sz="4" w:space="0" w:color="auto"/>
              <w:bottom w:val="single" w:sz="4" w:space="0" w:color="000000"/>
              <w:right w:val="single" w:sz="4" w:space="0" w:color="auto"/>
            </w:tcBorders>
            <w:vAlign w:val="center"/>
            <w:hideMark/>
          </w:tcPr>
          <w:p w14:paraId="324717E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C6D50A2" w14:textId="77777777" w:rsidR="003C7447" w:rsidRPr="0038344D" w:rsidRDefault="003C7447" w:rsidP="00E31A1F">
            <w:pPr>
              <w:spacing w:after="0"/>
              <w:jc w:val="both"/>
              <w:rPr>
                <w:rFonts w:eastAsia="Times New Roman"/>
                <w:color w:val="000000"/>
              </w:rPr>
            </w:pPr>
            <w:r w:rsidRPr="0038344D">
              <w:rPr>
                <w:rFonts w:eastAsia="Times New Roman"/>
                <w:color w:val="000000"/>
              </w:rPr>
              <w:t>Channel estimation</w:t>
            </w:r>
          </w:p>
        </w:tc>
        <w:tc>
          <w:tcPr>
            <w:tcW w:w="2620" w:type="pct"/>
            <w:tcBorders>
              <w:top w:val="nil"/>
              <w:left w:val="nil"/>
              <w:bottom w:val="single" w:sz="4" w:space="0" w:color="auto"/>
              <w:right w:val="single" w:sz="4" w:space="0" w:color="auto"/>
            </w:tcBorders>
            <w:shd w:val="clear" w:color="000000" w:fill="F2F2F2"/>
            <w:vAlign w:val="center"/>
          </w:tcPr>
          <w:p w14:paraId="38BB54E2" w14:textId="77777777" w:rsidR="003C7447" w:rsidRPr="0038344D" w:rsidRDefault="003C7447" w:rsidP="00E31A1F">
            <w:pPr>
              <w:spacing w:after="0"/>
              <w:jc w:val="both"/>
              <w:rPr>
                <w:rFonts w:eastAsia="Times New Roman"/>
                <w:color w:val="000000"/>
              </w:rPr>
            </w:pPr>
            <w:r w:rsidRPr="0038344D">
              <w:rPr>
                <w:color w:val="000000"/>
              </w:rPr>
              <w:t>Ideal</w:t>
            </w:r>
          </w:p>
        </w:tc>
      </w:tr>
      <w:tr w:rsidR="003C7447" w:rsidRPr="0038344D" w14:paraId="09ECCF4B" w14:textId="77777777" w:rsidTr="003C7447">
        <w:trPr>
          <w:trHeight w:val="80"/>
          <w:jc w:val="center"/>
        </w:trPr>
        <w:tc>
          <w:tcPr>
            <w:tcW w:w="1125" w:type="pct"/>
            <w:vMerge/>
            <w:tcBorders>
              <w:top w:val="nil"/>
              <w:left w:val="single" w:sz="4" w:space="0" w:color="auto"/>
              <w:bottom w:val="single" w:sz="4" w:space="0" w:color="000000"/>
              <w:right w:val="single" w:sz="4" w:space="0" w:color="auto"/>
            </w:tcBorders>
            <w:vAlign w:val="center"/>
            <w:hideMark/>
          </w:tcPr>
          <w:p w14:paraId="6BAEFDC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34A9CC7" w14:textId="77777777" w:rsidR="003C7447" w:rsidRPr="0038344D" w:rsidRDefault="003C7447" w:rsidP="00E31A1F">
            <w:pPr>
              <w:spacing w:after="0"/>
              <w:jc w:val="both"/>
              <w:rPr>
                <w:rFonts w:eastAsia="Times New Roman"/>
                <w:color w:val="000000"/>
              </w:rPr>
            </w:pPr>
            <w:r w:rsidRPr="0038344D">
              <w:rPr>
                <w:rFonts w:eastAsia="Times New Roman"/>
                <w:color w:val="000000"/>
              </w:rPr>
              <w:t>UE processing capability</w:t>
            </w:r>
          </w:p>
        </w:tc>
        <w:tc>
          <w:tcPr>
            <w:tcW w:w="2620" w:type="pct"/>
            <w:tcBorders>
              <w:top w:val="nil"/>
              <w:left w:val="nil"/>
              <w:bottom w:val="single" w:sz="4" w:space="0" w:color="auto"/>
              <w:right w:val="single" w:sz="4" w:space="0" w:color="auto"/>
            </w:tcBorders>
            <w:shd w:val="clear" w:color="000000" w:fill="F2F2F2"/>
            <w:vAlign w:val="center"/>
          </w:tcPr>
          <w:p w14:paraId="506D3DE8" w14:textId="77777777" w:rsidR="003C7447" w:rsidRPr="0038344D" w:rsidRDefault="003C7447" w:rsidP="00E31A1F">
            <w:pPr>
              <w:spacing w:after="0"/>
              <w:jc w:val="both"/>
              <w:rPr>
                <w:rFonts w:eastAsia="Times New Roman"/>
                <w:color w:val="000000"/>
              </w:rPr>
            </w:pPr>
            <w:r w:rsidRPr="0038344D">
              <w:rPr>
                <w:color w:val="000000"/>
              </w:rPr>
              <w:t>UE processing capability 1 as baseline</w:t>
            </w:r>
          </w:p>
        </w:tc>
      </w:tr>
      <w:tr w:rsidR="003C7447" w:rsidRPr="0038344D" w14:paraId="2C9C0B3A" w14:textId="77777777" w:rsidTr="003C7447">
        <w:trPr>
          <w:trHeight w:val="107"/>
          <w:jc w:val="center"/>
        </w:trPr>
        <w:tc>
          <w:tcPr>
            <w:tcW w:w="1125" w:type="pct"/>
            <w:vMerge/>
            <w:tcBorders>
              <w:top w:val="nil"/>
              <w:left w:val="single" w:sz="4" w:space="0" w:color="auto"/>
              <w:bottom w:val="single" w:sz="4" w:space="0" w:color="000000"/>
              <w:right w:val="single" w:sz="4" w:space="0" w:color="auto"/>
            </w:tcBorders>
            <w:vAlign w:val="center"/>
            <w:hideMark/>
          </w:tcPr>
          <w:p w14:paraId="5CD913D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EDADD4D" w14:textId="77777777" w:rsidR="003C7447" w:rsidRPr="0038344D" w:rsidRDefault="003C7447" w:rsidP="00E31A1F">
            <w:pPr>
              <w:spacing w:after="0"/>
              <w:jc w:val="both"/>
              <w:rPr>
                <w:rFonts w:eastAsia="Times New Roman"/>
                <w:color w:val="000000"/>
              </w:rPr>
            </w:pPr>
            <w:r w:rsidRPr="0038344D">
              <w:rPr>
                <w:rFonts w:eastAsia="Times New Roman"/>
                <w:color w:val="000000"/>
              </w:rPr>
              <w:t>Handover margin (dB)</w:t>
            </w:r>
          </w:p>
        </w:tc>
        <w:tc>
          <w:tcPr>
            <w:tcW w:w="2620" w:type="pct"/>
            <w:tcBorders>
              <w:top w:val="nil"/>
              <w:left w:val="nil"/>
              <w:bottom w:val="single" w:sz="4" w:space="0" w:color="auto"/>
              <w:right w:val="single" w:sz="4" w:space="0" w:color="auto"/>
            </w:tcBorders>
            <w:shd w:val="clear" w:color="000000" w:fill="F2F2F2"/>
            <w:vAlign w:val="center"/>
          </w:tcPr>
          <w:p w14:paraId="7D687D4E" w14:textId="77777777" w:rsidR="003C7447" w:rsidRPr="0038344D" w:rsidRDefault="003C7447" w:rsidP="00E31A1F">
            <w:pPr>
              <w:spacing w:after="0"/>
              <w:jc w:val="both"/>
              <w:rPr>
                <w:rFonts w:eastAsia="Times New Roman"/>
                <w:color w:val="000000"/>
              </w:rPr>
            </w:pPr>
            <w:r w:rsidRPr="0038344D">
              <w:rPr>
                <w:color w:val="000000"/>
              </w:rPr>
              <w:t>3 dB</w:t>
            </w:r>
          </w:p>
        </w:tc>
      </w:tr>
      <w:tr w:rsidR="003C7447" w:rsidRPr="0038344D" w14:paraId="4E50BEA0" w14:textId="77777777" w:rsidTr="003C7447">
        <w:trPr>
          <w:trHeight w:val="143"/>
          <w:jc w:val="center"/>
        </w:trPr>
        <w:tc>
          <w:tcPr>
            <w:tcW w:w="1125" w:type="pct"/>
            <w:vMerge/>
            <w:tcBorders>
              <w:top w:val="nil"/>
              <w:left w:val="single" w:sz="4" w:space="0" w:color="auto"/>
              <w:bottom w:val="single" w:sz="4" w:space="0" w:color="000000"/>
              <w:right w:val="single" w:sz="4" w:space="0" w:color="auto"/>
            </w:tcBorders>
            <w:vAlign w:val="center"/>
            <w:hideMark/>
          </w:tcPr>
          <w:p w14:paraId="79678D8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4AC7B1D" w14:textId="77777777" w:rsidR="003C7447" w:rsidRPr="0038344D" w:rsidRDefault="003C7447" w:rsidP="00E31A1F">
            <w:pPr>
              <w:spacing w:after="0"/>
              <w:jc w:val="both"/>
              <w:rPr>
                <w:rFonts w:eastAsia="Times New Roman"/>
                <w:color w:val="000000"/>
              </w:rPr>
            </w:pPr>
            <w:r w:rsidRPr="0038344D">
              <w:rPr>
                <w:rFonts w:eastAsia="Times New Roman"/>
                <w:color w:val="000000"/>
              </w:rPr>
              <w:t>UE attachment</w:t>
            </w:r>
          </w:p>
        </w:tc>
        <w:tc>
          <w:tcPr>
            <w:tcW w:w="2620" w:type="pct"/>
            <w:tcBorders>
              <w:top w:val="nil"/>
              <w:left w:val="nil"/>
              <w:bottom w:val="single" w:sz="4" w:space="0" w:color="auto"/>
              <w:right w:val="single" w:sz="4" w:space="0" w:color="auto"/>
            </w:tcBorders>
            <w:shd w:val="clear" w:color="000000" w:fill="F2F2F2"/>
          </w:tcPr>
          <w:p w14:paraId="37FBB4B8" w14:textId="77777777" w:rsidR="003C7447" w:rsidRPr="0038344D" w:rsidRDefault="003C7447" w:rsidP="00E31A1F">
            <w:pPr>
              <w:spacing w:after="0"/>
              <w:jc w:val="both"/>
              <w:rPr>
                <w:rFonts w:eastAsia="Times New Roman"/>
                <w:color w:val="000000"/>
              </w:rPr>
            </w:pPr>
            <w:r w:rsidRPr="0038344D">
              <w:rPr>
                <w:rFonts w:eastAsia="Times New Roman"/>
                <w:color w:val="000000"/>
              </w:rPr>
              <w:t>Based on RSRP from port 0</w:t>
            </w:r>
          </w:p>
        </w:tc>
      </w:tr>
      <w:tr w:rsidR="003C7447" w:rsidRPr="0038344D" w14:paraId="2C3A56A4" w14:textId="77777777" w:rsidTr="003C7447">
        <w:trPr>
          <w:trHeight w:val="80"/>
          <w:jc w:val="center"/>
        </w:trPr>
        <w:tc>
          <w:tcPr>
            <w:tcW w:w="1125" w:type="pct"/>
            <w:vMerge/>
            <w:tcBorders>
              <w:top w:val="nil"/>
              <w:left w:val="single" w:sz="4" w:space="0" w:color="auto"/>
              <w:bottom w:val="single" w:sz="4" w:space="0" w:color="000000"/>
              <w:right w:val="single" w:sz="4" w:space="0" w:color="auto"/>
            </w:tcBorders>
            <w:vAlign w:val="center"/>
            <w:hideMark/>
          </w:tcPr>
          <w:p w14:paraId="0AADDA6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AA0E9A0" w14:textId="77777777" w:rsidR="003C7447" w:rsidRPr="0038344D" w:rsidRDefault="003C7447" w:rsidP="00E31A1F">
            <w:pPr>
              <w:spacing w:after="0"/>
              <w:jc w:val="both"/>
              <w:rPr>
                <w:rFonts w:eastAsia="Times New Roman"/>
                <w:color w:val="000000"/>
              </w:rPr>
            </w:pPr>
            <w:r w:rsidRPr="0038344D">
              <w:rPr>
                <w:rFonts w:eastAsia="Times New Roman"/>
                <w:color w:val="000000"/>
              </w:rPr>
              <w:t>Transmission scheme</w:t>
            </w:r>
          </w:p>
        </w:tc>
        <w:tc>
          <w:tcPr>
            <w:tcW w:w="2620" w:type="pct"/>
            <w:tcBorders>
              <w:top w:val="nil"/>
              <w:left w:val="nil"/>
              <w:bottom w:val="single" w:sz="4" w:space="0" w:color="auto"/>
              <w:right w:val="single" w:sz="4" w:space="0" w:color="auto"/>
            </w:tcBorders>
            <w:shd w:val="clear" w:color="000000" w:fill="F2F2F2"/>
            <w:vAlign w:val="center"/>
          </w:tcPr>
          <w:p w14:paraId="1A2F8627" w14:textId="77777777" w:rsidR="003C7447" w:rsidRPr="0038344D" w:rsidRDefault="003C7447" w:rsidP="00E31A1F">
            <w:pPr>
              <w:spacing w:after="0"/>
              <w:jc w:val="both"/>
              <w:rPr>
                <w:rFonts w:eastAsia="Times New Roman"/>
                <w:color w:val="000000"/>
              </w:rPr>
            </w:pPr>
            <w:r w:rsidRPr="0038344D">
              <w:rPr>
                <w:color w:val="000000"/>
              </w:rPr>
              <w:t>SU-MIMO, maximum layers for SU-MIMO = 2</w:t>
            </w:r>
          </w:p>
        </w:tc>
      </w:tr>
      <w:tr w:rsidR="003C7447" w:rsidRPr="0038344D" w14:paraId="2D545548" w14:textId="77777777" w:rsidTr="003C7447">
        <w:trPr>
          <w:trHeight w:val="197"/>
          <w:jc w:val="center"/>
        </w:trPr>
        <w:tc>
          <w:tcPr>
            <w:tcW w:w="1125" w:type="pct"/>
            <w:vMerge/>
            <w:tcBorders>
              <w:top w:val="nil"/>
              <w:left w:val="single" w:sz="4" w:space="0" w:color="auto"/>
              <w:bottom w:val="single" w:sz="4" w:space="0" w:color="000000"/>
              <w:right w:val="single" w:sz="4" w:space="0" w:color="auto"/>
            </w:tcBorders>
            <w:vAlign w:val="center"/>
            <w:hideMark/>
          </w:tcPr>
          <w:p w14:paraId="551AAE9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BA7B41C" w14:textId="77777777" w:rsidR="003C7447" w:rsidRPr="0038344D" w:rsidRDefault="003C7447" w:rsidP="00E31A1F">
            <w:pPr>
              <w:spacing w:after="0"/>
              <w:jc w:val="both"/>
              <w:rPr>
                <w:rFonts w:eastAsia="Times New Roman"/>
                <w:color w:val="000000"/>
              </w:rPr>
            </w:pPr>
            <w:r w:rsidRPr="0038344D">
              <w:rPr>
                <w:rFonts w:eastAsia="Times New Roman"/>
                <w:color w:val="000000"/>
              </w:rPr>
              <w:t>Polarized antenna model</w:t>
            </w:r>
          </w:p>
        </w:tc>
        <w:tc>
          <w:tcPr>
            <w:tcW w:w="2620" w:type="pct"/>
            <w:tcBorders>
              <w:top w:val="nil"/>
              <w:left w:val="nil"/>
              <w:bottom w:val="single" w:sz="4" w:space="0" w:color="auto"/>
              <w:right w:val="single" w:sz="4" w:space="0" w:color="auto"/>
            </w:tcBorders>
            <w:shd w:val="clear" w:color="000000" w:fill="F2F2F2"/>
            <w:vAlign w:val="center"/>
          </w:tcPr>
          <w:p w14:paraId="6BB5824B" w14:textId="77777777" w:rsidR="003C7447" w:rsidRPr="0038344D" w:rsidRDefault="003C7447" w:rsidP="00E31A1F">
            <w:pPr>
              <w:spacing w:after="0"/>
              <w:jc w:val="both"/>
              <w:rPr>
                <w:rFonts w:eastAsia="Times New Roman"/>
                <w:color w:val="000000"/>
              </w:rPr>
            </w:pPr>
            <w:r w:rsidRPr="0038344D">
              <w:rPr>
                <w:color w:val="000000"/>
              </w:rPr>
              <w:t>Model-1 in clause 7.3.2 in TR 38.901</w:t>
            </w:r>
          </w:p>
        </w:tc>
      </w:tr>
      <w:tr w:rsidR="003C7447" w:rsidRPr="0038344D" w14:paraId="4305C887" w14:textId="77777777" w:rsidTr="003C7447">
        <w:trPr>
          <w:trHeight w:val="143"/>
          <w:jc w:val="center"/>
        </w:trPr>
        <w:tc>
          <w:tcPr>
            <w:tcW w:w="1125" w:type="pct"/>
            <w:vMerge/>
            <w:tcBorders>
              <w:top w:val="nil"/>
              <w:left w:val="single" w:sz="4" w:space="0" w:color="auto"/>
              <w:bottom w:val="single" w:sz="4" w:space="0" w:color="000000"/>
              <w:right w:val="single" w:sz="4" w:space="0" w:color="auto"/>
            </w:tcBorders>
            <w:vAlign w:val="center"/>
            <w:hideMark/>
          </w:tcPr>
          <w:p w14:paraId="1758838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9B97EE5" w14:textId="77777777" w:rsidR="003C7447" w:rsidRPr="0038344D" w:rsidRDefault="003C7447" w:rsidP="00E31A1F">
            <w:pPr>
              <w:spacing w:after="0"/>
              <w:jc w:val="both"/>
              <w:rPr>
                <w:rFonts w:eastAsia="Times New Roman"/>
                <w:color w:val="000000"/>
              </w:rPr>
            </w:pPr>
            <w:r w:rsidRPr="0038344D">
              <w:rPr>
                <w:rFonts w:eastAsia="Times New Roman"/>
                <w:color w:val="000000"/>
              </w:rPr>
              <w:t>DL/UL Modulation</w:t>
            </w:r>
          </w:p>
        </w:tc>
        <w:tc>
          <w:tcPr>
            <w:tcW w:w="2620" w:type="pct"/>
            <w:tcBorders>
              <w:top w:val="nil"/>
              <w:left w:val="nil"/>
              <w:bottom w:val="single" w:sz="4" w:space="0" w:color="auto"/>
              <w:right w:val="single" w:sz="4" w:space="0" w:color="auto"/>
            </w:tcBorders>
            <w:shd w:val="clear" w:color="000000" w:fill="F2F2F2"/>
            <w:vAlign w:val="center"/>
          </w:tcPr>
          <w:p w14:paraId="1C45F647" w14:textId="77777777" w:rsidR="003C7447" w:rsidRPr="0038344D" w:rsidRDefault="003C7447" w:rsidP="00E31A1F">
            <w:pPr>
              <w:spacing w:after="0"/>
              <w:jc w:val="both"/>
              <w:rPr>
                <w:rFonts w:eastAsia="Times New Roman"/>
                <w:color w:val="000000"/>
              </w:rPr>
            </w:pPr>
            <w:r w:rsidRPr="0038344D">
              <w:rPr>
                <w:color w:val="000000"/>
              </w:rPr>
              <w:t>Up to 256QAM</w:t>
            </w:r>
          </w:p>
        </w:tc>
      </w:tr>
      <w:tr w:rsidR="003C7447" w:rsidRPr="0038344D" w14:paraId="0E8444F1" w14:textId="77777777" w:rsidTr="003C7447">
        <w:trPr>
          <w:trHeight w:val="80"/>
          <w:jc w:val="center"/>
        </w:trPr>
        <w:tc>
          <w:tcPr>
            <w:tcW w:w="1125" w:type="pct"/>
            <w:vMerge/>
            <w:tcBorders>
              <w:top w:val="nil"/>
              <w:left w:val="single" w:sz="4" w:space="0" w:color="auto"/>
              <w:bottom w:val="nil"/>
              <w:right w:val="single" w:sz="4" w:space="0" w:color="auto"/>
            </w:tcBorders>
            <w:vAlign w:val="center"/>
            <w:hideMark/>
          </w:tcPr>
          <w:p w14:paraId="4FEAA88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84F1EF2" w14:textId="77777777" w:rsidR="003C7447" w:rsidRPr="0038344D" w:rsidRDefault="003C7447" w:rsidP="00E31A1F">
            <w:pPr>
              <w:spacing w:after="0"/>
              <w:jc w:val="both"/>
              <w:rPr>
                <w:rFonts w:eastAsia="Times New Roman"/>
                <w:color w:val="000000"/>
              </w:rPr>
            </w:pPr>
            <w:r w:rsidRPr="0038344D">
              <w:rPr>
                <w:rFonts w:eastAsia="Times New Roman"/>
                <w:color w:val="000000"/>
              </w:rPr>
              <w:t>Scheduling</w:t>
            </w:r>
          </w:p>
        </w:tc>
        <w:tc>
          <w:tcPr>
            <w:tcW w:w="2620" w:type="pct"/>
            <w:tcBorders>
              <w:top w:val="nil"/>
              <w:left w:val="nil"/>
              <w:bottom w:val="single" w:sz="4" w:space="0" w:color="auto"/>
              <w:right w:val="single" w:sz="4" w:space="0" w:color="auto"/>
            </w:tcBorders>
            <w:shd w:val="clear" w:color="000000" w:fill="F2F2F2"/>
            <w:vAlign w:val="center"/>
          </w:tcPr>
          <w:p w14:paraId="0E633210" w14:textId="77777777" w:rsidR="003C7447" w:rsidRPr="0038344D" w:rsidRDefault="003C7447" w:rsidP="00E31A1F">
            <w:pPr>
              <w:spacing w:after="0"/>
              <w:jc w:val="both"/>
              <w:rPr>
                <w:rFonts w:eastAsia="Times New Roman"/>
                <w:color w:val="000000"/>
              </w:rPr>
            </w:pPr>
            <w:r w:rsidRPr="0038344D">
              <w:rPr>
                <w:color w:val="000000"/>
              </w:rPr>
              <w:t>PF</w:t>
            </w:r>
          </w:p>
        </w:tc>
      </w:tr>
      <w:tr w:rsidR="003C7447" w:rsidRPr="0038344D" w14:paraId="2E4E63F5" w14:textId="77777777" w:rsidTr="003C7447">
        <w:trPr>
          <w:trHeight w:val="80"/>
          <w:jc w:val="center"/>
        </w:trPr>
        <w:tc>
          <w:tcPr>
            <w:tcW w:w="1125" w:type="pct"/>
            <w:tcBorders>
              <w:top w:val="nil"/>
              <w:left w:val="single" w:sz="4" w:space="0" w:color="auto"/>
              <w:bottom w:val="single" w:sz="4" w:space="0" w:color="000000"/>
              <w:right w:val="single" w:sz="4" w:space="0" w:color="auto"/>
            </w:tcBorders>
            <w:vAlign w:val="center"/>
          </w:tcPr>
          <w:p w14:paraId="03557CB7" w14:textId="77777777" w:rsidR="003C7447" w:rsidRPr="0038344D" w:rsidRDefault="003C7447" w:rsidP="00E31A1F">
            <w:pPr>
              <w:spacing w:after="0"/>
              <w:rPr>
                <w:rFonts w:eastAsia="Times New Roman"/>
                <w:color w:val="000000"/>
              </w:rPr>
            </w:pPr>
          </w:p>
        </w:tc>
        <w:tc>
          <w:tcPr>
            <w:tcW w:w="1255" w:type="pct"/>
            <w:tcBorders>
              <w:top w:val="single" w:sz="4" w:space="0" w:color="auto"/>
              <w:left w:val="nil"/>
              <w:bottom w:val="single" w:sz="4" w:space="0" w:color="auto"/>
              <w:right w:val="single" w:sz="4" w:space="0" w:color="auto"/>
            </w:tcBorders>
            <w:shd w:val="clear" w:color="000000" w:fill="F2F2F2"/>
            <w:vAlign w:val="center"/>
          </w:tcPr>
          <w:p w14:paraId="019E1D93" w14:textId="77777777" w:rsidR="003C7447" w:rsidRPr="0038344D" w:rsidRDefault="003C7447" w:rsidP="00E31A1F">
            <w:pPr>
              <w:spacing w:after="0"/>
              <w:jc w:val="both"/>
              <w:rPr>
                <w:rFonts w:eastAsia="Times New Roman"/>
                <w:color w:val="000000"/>
              </w:rPr>
            </w:pPr>
            <w:r w:rsidRPr="0038344D">
              <w:rPr>
                <w:rFonts w:eastAsia="Times New Roman"/>
                <w:color w:val="000000"/>
              </w:rPr>
              <w:t>Overhead</w:t>
            </w:r>
          </w:p>
        </w:tc>
        <w:tc>
          <w:tcPr>
            <w:tcW w:w="2620" w:type="pct"/>
            <w:tcBorders>
              <w:top w:val="single" w:sz="4" w:space="0" w:color="auto"/>
              <w:left w:val="nil"/>
              <w:bottom w:val="single" w:sz="4" w:space="0" w:color="auto"/>
              <w:right w:val="single" w:sz="4" w:space="0" w:color="auto"/>
            </w:tcBorders>
            <w:shd w:val="clear" w:color="000000" w:fill="F2F2F2"/>
            <w:vAlign w:val="center"/>
          </w:tcPr>
          <w:p w14:paraId="29E14082" w14:textId="77777777" w:rsidR="003C7447" w:rsidRDefault="003C7447" w:rsidP="00E31A1F">
            <w:pPr>
              <w:spacing w:after="0"/>
              <w:jc w:val="both"/>
              <w:rPr>
                <w:color w:val="000000"/>
              </w:rPr>
            </w:pPr>
            <w:r>
              <w:rPr>
                <w:color w:val="000000"/>
              </w:rPr>
              <w:t>DL: 27.38%</w:t>
            </w:r>
          </w:p>
          <w:p w14:paraId="4174863B" w14:textId="77777777" w:rsidR="003C7447" w:rsidRPr="0038344D" w:rsidRDefault="003C7447" w:rsidP="00E31A1F">
            <w:pPr>
              <w:spacing w:after="0"/>
              <w:jc w:val="both"/>
              <w:rPr>
                <w:color w:val="000000"/>
              </w:rPr>
            </w:pPr>
            <w:r>
              <w:rPr>
                <w:color w:val="000000"/>
              </w:rPr>
              <w:t>UL: 14.9%</w:t>
            </w:r>
          </w:p>
        </w:tc>
      </w:tr>
    </w:tbl>
    <w:p w14:paraId="31B00A5F" w14:textId="48FDC7D5" w:rsidR="00495D94" w:rsidRDefault="00495D94" w:rsidP="008A3F3B">
      <w:pPr>
        <w:spacing w:after="120"/>
      </w:pPr>
    </w:p>
    <w:p w14:paraId="4AE81AA2" w14:textId="7828AA0E" w:rsidR="0083630C" w:rsidRDefault="0083630C" w:rsidP="008A3F3B">
      <w:pPr>
        <w:spacing w:after="120"/>
      </w:pPr>
    </w:p>
    <w:sectPr w:rsidR="0083630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95DE" w14:textId="77777777" w:rsidR="004D51B0" w:rsidRDefault="004D51B0">
      <w:r>
        <w:separator/>
      </w:r>
    </w:p>
  </w:endnote>
  <w:endnote w:type="continuationSeparator" w:id="0">
    <w:p w14:paraId="7EC9AA51" w14:textId="77777777" w:rsidR="004D51B0" w:rsidRDefault="004D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068C" w14:textId="77777777" w:rsidR="004D51B0" w:rsidRDefault="004D51B0">
      <w:r>
        <w:separator/>
      </w:r>
    </w:p>
  </w:footnote>
  <w:footnote w:type="continuationSeparator" w:id="0">
    <w:p w14:paraId="3E8E60A8" w14:textId="77777777" w:rsidR="004D51B0" w:rsidRDefault="004D5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CE555EB"/>
    <w:multiLevelType w:val="hybridMultilevel"/>
    <w:tmpl w:val="803850FE"/>
    <w:lvl w:ilvl="0" w:tplc="FF0AD66C">
      <w:start w:val="1"/>
      <w:numFmt w:val="lowerLetter"/>
      <w:lvlText w:val="(%1)"/>
      <w:lvlJc w:val="left"/>
      <w:pPr>
        <w:ind w:left="2210" w:hanging="360"/>
      </w:pPr>
      <w:rPr>
        <w:rFonts w:hint="default"/>
      </w:rPr>
    </w:lvl>
    <w:lvl w:ilvl="1" w:tplc="08090019" w:tentative="1">
      <w:start w:val="1"/>
      <w:numFmt w:val="lowerLetter"/>
      <w:lvlText w:val="%2."/>
      <w:lvlJc w:val="left"/>
      <w:pPr>
        <w:ind w:left="2930" w:hanging="360"/>
      </w:pPr>
    </w:lvl>
    <w:lvl w:ilvl="2" w:tplc="0809001B" w:tentative="1">
      <w:start w:val="1"/>
      <w:numFmt w:val="lowerRoman"/>
      <w:lvlText w:val="%3."/>
      <w:lvlJc w:val="right"/>
      <w:pPr>
        <w:ind w:left="3650" w:hanging="180"/>
      </w:pPr>
    </w:lvl>
    <w:lvl w:ilvl="3" w:tplc="0809000F" w:tentative="1">
      <w:start w:val="1"/>
      <w:numFmt w:val="decimal"/>
      <w:lvlText w:val="%4."/>
      <w:lvlJc w:val="left"/>
      <w:pPr>
        <w:ind w:left="4370" w:hanging="360"/>
      </w:pPr>
    </w:lvl>
    <w:lvl w:ilvl="4" w:tplc="08090019" w:tentative="1">
      <w:start w:val="1"/>
      <w:numFmt w:val="lowerLetter"/>
      <w:lvlText w:val="%5."/>
      <w:lvlJc w:val="left"/>
      <w:pPr>
        <w:ind w:left="5090" w:hanging="360"/>
      </w:pPr>
    </w:lvl>
    <w:lvl w:ilvl="5" w:tplc="0809001B" w:tentative="1">
      <w:start w:val="1"/>
      <w:numFmt w:val="lowerRoman"/>
      <w:lvlText w:val="%6."/>
      <w:lvlJc w:val="right"/>
      <w:pPr>
        <w:ind w:left="5810" w:hanging="180"/>
      </w:pPr>
    </w:lvl>
    <w:lvl w:ilvl="6" w:tplc="0809000F" w:tentative="1">
      <w:start w:val="1"/>
      <w:numFmt w:val="decimal"/>
      <w:lvlText w:val="%7."/>
      <w:lvlJc w:val="left"/>
      <w:pPr>
        <w:ind w:left="6530" w:hanging="360"/>
      </w:pPr>
    </w:lvl>
    <w:lvl w:ilvl="7" w:tplc="08090019" w:tentative="1">
      <w:start w:val="1"/>
      <w:numFmt w:val="lowerLetter"/>
      <w:lvlText w:val="%8."/>
      <w:lvlJc w:val="left"/>
      <w:pPr>
        <w:ind w:left="7250" w:hanging="360"/>
      </w:pPr>
    </w:lvl>
    <w:lvl w:ilvl="8" w:tplc="0809001B" w:tentative="1">
      <w:start w:val="1"/>
      <w:numFmt w:val="lowerRoman"/>
      <w:lvlText w:val="%9."/>
      <w:lvlJc w:val="right"/>
      <w:pPr>
        <w:ind w:left="7970" w:hanging="180"/>
      </w:pPr>
    </w:lvl>
  </w:abstractNum>
  <w:abstractNum w:abstractNumId="2"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10"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74250">
    <w:abstractNumId w:val="3"/>
  </w:num>
  <w:num w:numId="2" w16cid:durableId="581376173">
    <w:abstractNumId w:val="8"/>
  </w:num>
  <w:num w:numId="3" w16cid:durableId="499001337">
    <w:abstractNumId w:val="7"/>
  </w:num>
  <w:num w:numId="4" w16cid:durableId="443157035">
    <w:abstractNumId w:val="12"/>
  </w:num>
  <w:num w:numId="5" w16cid:durableId="1115103204">
    <w:abstractNumId w:val="2"/>
  </w:num>
  <w:num w:numId="6" w16cid:durableId="650601429">
    <w:abstractNumId w:val="4"/>
  </w:num>
  <w:num w:numId="7" w16cid:durableId="972830858">
    <w:abstractNumId w:val="5"/>
  </w:num>
  <w:num w:numId="8" w16cid:durableId="839850473">
    <w:abstractNumId w:val="11"/>
  </w:num>
  <w:num w:numId="9" w16cid:durableId="1664509266">
    <w:abstractNumId w:val="13"/>
  </w:num>
  <w:num w:numId="10" w16cid:durableId="1389259163">
    <w:abstractNumId w:val="6"/>
  </w:num>
  <w:num w:numId="11" w16cid:durableId="1280145069">
    <w:abstractNumId w:val="10"/>
  </w:num>
  <w:num w:numId="12" w16cid:durableId="2091467637">
    <w:abstractNumId w:val="0"/>
  </w:num>
  <w:num w:numId="13" w16cid:durableId="774640212">
    <w:abstractNumId w:val="9"/>
  </w:num>
  <w:num w:numId="14" w16cid:durableId="159647986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6B41"/>
    <w:rsid w:val="00007560"/>
    <w:rsid w:val="0000797A"/>
    <w:rsid w:val="000079AF"/>
    <w:rsid w:val="000121C0"/>
    <w:rsid w:val="000122DB"/>
    <w:rsid w:val="00013D0E"/>
    <w:rsid w:val="00014148"/>
    <w:rsid w:val="00014D02"/>
    <w:rsid w:val="00015136"/>
    <w:rsid w:val="00015793"/>
    <w:rsid w:val="000157F5"/>
    <w:rsid w:val="00015873"/>
    <w:rsid w:val="0001618A"/>
    <w:rsid w:val="00017589"/>
    <w:rsid w:val="0002017E"/>
    <w:rsid w:val="00020FEE"/>
    <w:rsid w:val="0002191D"/>
    <w:rsid w:val="000222CB"/>
    <w:rsid w:val="00022DE9"/>
    <w:rsid w:val="00023861"/>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72D9"/>
    <w:rsid w:val="00047BCC"/>
    <w:rsid w:val="00047DB7"/>
    <w:rsid w:val="0005060F"/>
    <w:rsid w:val="00050E75"/>
    <w:rsid w:val="000512B0"/>
    <w:rsid w:val="00051F1F"/>
    <w:rsid w:val="00052B7C"/>
    <w:rsid w:val="00053BDB"/>
    <w:rsid w:val="00053C5F"/>
    <w:rsid w:val="00054D06"/>
    <w:rsid w:val="00054F7C"/>
    <w:rsid w:val="000557B8"/>
    <w:rsid w:val="00056973"/>
    <w:rsid w:val="00056A73"/>
    <w:rsid w:val="00057AC8"/>
    <w:rsid w:val="00057DC0"/>
    <w:rsid w:val="0006236F"/>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9BE"/>
    <w:rsid w:val="00080B3D"/>
    <w:rsid w:val="00080EA9"/>
    <w:rsid w:val="000816AD"/>
    <w:rsid w:val="00081D69"/>
    <w:rsid w:val="000822BA"/>
    <w:rsid w:val="00082AA4"/>
    <w:rsid w:val="0008338A"/>
    <w:rsid w:val="000837A9"/>
    <w:rsid w:val="00083A46"/>
    <w:rsid w:val="000850C4"/>
    <w:rsid w:val="000863CD"/>
    <w:rsid w:val="0008693B"/>
    <w:rsid w:val="00087287"/>
    <w:rsid w:val="0008738E"/>
    <w:rsid w:val="00090F90"/>
    <w:rsid w:val="000917A0"/>
    <w:rsid w:val="00091924"/>
    <w:rsid w:val="0009229A"/>
    <w:rsid w:val="00092540"/>
    <w:rsid w:val="00092684"/>
    <w:rsid w:val="00093E7E"/>
    <w:rsid w:val="0009555A"/>
    <w:rsid w:val="0009679F"/>
    <w:rsid w:val="00096F03"/>
    <w:rsid w:val="00097F82"/>
    <w:rsid w:val="00097FF4"/>
    <w:rsid w:val="000A02F0"/>
    <w:rsid w:val="000A097E"/>
    <w:rsid w:val="000A1A1C"/>
    <w:rsid w:val="000A28EE"/>
    <w:rsid w:val="000A2E10"/>
    <w:rsid w:val="000A3132"/>
    <w:rsid w:val="000A32B6"/>
    <w:rsid w:val="000A46B3"/>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A76"/>
    <w:rsid w:val="000B3C70"/>
    <w:rsid w:val="000B3C88"/>
    <w:rsid w:val="000B42AC"/>
    <w:rsid w:val="000B457A"/>
    <w:rsid w:val="000B49AF"/>
    <w:rsid w:val="000B4A0D"/>
    <w:rsid w:val="000B4CAE"/>
    <w:rsid w:val="000B5B95"/>
    <w:rsid w:val="000B60EF"/>
    <w:rsid w:val="000B65AB"/>
    <w:rsid w:val="000C0E80"/>
    <w:rsid w:val="000C284B"/>
    <w:rsid w:val="000C28E5"/>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371"/>
    <w:rsid w:val="000F1776"/>
    <w:rsid w:val="000F1F32"/>
    <w:rsid w:val="000F3AB1"/>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FFA"/>
    <w:rsid w:val="00110201"/>
    <w:rsid w:val="00111473"/>
    <w:rsid w:val="00111D8E"/>
    <w:rsid w:val="00112480"/>
    <w:rsid w:val="0011266F"/>
    <w:rsid w:val="001132EE"/>
    <w:rsid w:val="001135BD"/>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1E8"/>
    <w:rsid w:val="00161258"/>
    <w:rsid w:val="00161646"/>
    <w:rsid w:val="00161A4C"/>
    <w:rsid w:val="00163735"/>
    <w:rsid w:val="00164444"/>
    <w:rsid w:val="0016596F"/>
    <w:rsid w:val="00165AE4"/>
    <w:rsid w:val="00165DD2"/>
    <w:rsid w:val="00165EA6"/>
    <w:rsid w:val="001678F4"/>
    <w:rsid w:val="00167E28"/>
    <w:rsid w:val="001709F0"/>
    <w:rsid w:val="0017195E"/>
    <w:rsid w:val="00172031"/>
    <w:rsid w:val="00172032"/>
    <w:rsid w:val="00172D61"/>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9A5"/>
    <w:rsid w:val="00182B95"/>
    <w:rsid w:val="00182CC2"/>
    <w:rsid w:val="0018349F"/>
    <w:rsid w:val="00183B2D"/>
    <w:rsid w:val="001842CE"/>
    <w:rsid w:val="0018448E"/>
    <w:rsid w:val="00185345"/>
    <w:rsid w:val="00185639"/>
    <w:rsid w:val="00185E34"/>
    <w:rsid w:val="0019079E"/>
    <w:rsid w:val="0019109B"/>
    <w:rsid w:val="001911A9"/>
    <w:rsid w:val="00191AD9"/>
    <w:rsid w:val="0019315E"/>
    <w:rsid w:val="001937BB"/>
    <w:rsid w:val="00194839"/>
    <w:rsid w:val="00194A4E"/>
    <w:rsid w:val="00194FCC"/>
    <w:rsid w:val="001968B4"/>
    <w:rsid w:val="00196BCA"/>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1F82"/>
    <w:rsid w:val="001B2818"/>
    <w:rsid w:val="001B305A"/>
    <w:rsid w:val="001B30B1"/>
    <w:rsid w:val="001B3867"/>
    <w:rsid w:val="001B5994"/>
    <w:rsid w:val="001B614A"/>
    <w:rsid w:val="001B61A1"/>
    <w:rsid w:val="001B67D1"/>
    <w:rsid w:val="001B68E2"/>
    <w:rsid w:val="001B74A5"/>
    <w:rsid w:val="001B7C4F"/>
    <w:rsid w:val="001C020D"/>
    <w:rsid w:val="001C0327"/>
    <w:rsid w:val="001C0D39"/>
    <w:rsid w:val="001C1865"/>
    <w:rsid w:val="001C254C"/>
    <w:rsid w:val="001C289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624"/>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0D7A"/>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5"/>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5394"/>
    <w:rsid w:val="00235A9B"/>
    <w:rsid w:val="002362DC"/>
    <w:rsid w:val="00237055"/>
    <w:rsid w:val="00237173"/>
    <w:rsid w:val="002372B0"/>
    <w:rsid w:val="002372C4"/>
    <w:rsid w:val="00241A81"/>
    <w:rsid w:val="00241BD3"/>
    <w:rsid w:val="00241D4B"/>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450"/>
    <w:rsid w:val="00256B5C"/>
    <w:rsid w:val="002570A5"/>
    <w:rsid w:val="00257500"/>
    <w:rsid w:val="002578FC"/>
    <w:rsid w:val="00260F10"/>
    <w:rsid w:val="0026179F"/>
    <w:rsid w:val="00261856"/>
    <w:rsid w:val="00263FAD"/>
    <w:rsid w:val="00264161"/>
    <w:rsid w:val="00264536"/>
    <w:rsid w:val="002653F5"/>
    <w:rsid w:val="00265616"/>
    <w:rsid w:val="00265893"/>
    <w:rsid w:val="00265B23"/>
    <w:rsid w:val="002660D1"/>
    <w:rsid w:val="0026698C"/>
    <w:rsid w:val="00266CCF"/>
    <w:rsid w:val="002671F1"/>
    <w:rsid w:val="002701B2"/>
    <w:rsid w:val="002711CF"/>
    <w:rsid w:val="00272308"/>
    <w:rsid w:val="00274E1A"/>
    <w:rsid w:val="00275BD6"/>
    <w:rsid w:val="00275E1D"/>
    <w:rsid w:val="0027655F"/>
    <w:rsid w:val="00276F76"/>
    <w:rsid w:val="002770F4"/>
    <w:rsid w:val="00277B89"/>
    <w:rsid w:val="00277E74"/>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2F24"/>
    <w:rsid w:val="002945EC"/>
    <w:rsid w:val="002958B5"/>
    <w:rsid w:val="0029648A"/>
    <w:rsid w:val="0029741C"/>
    <w:rsid w:val="00297444"/>
    <w:rsid w:val="00297595"/>
    <w:rsid w:val="00297FB4"/>
    <w:rsid w:val="002A18CA"/>
    <w:rsid w:val="002A283C"/>
    <w:rsid w:val="002A2935"/>
    <w:rsid w:val="002A2B41"/>
    <w:rsid w:val="002A2D8B"/>
    <w:rsid w:val="002A4261"/>
    <w:rsid w:val="002A481B"/>
    <w:rsid w:val="002A4A9C"/>
    <w:rsid w:val="002A4ABB"/>
    <w:rsid w:val="002A4C60"/>
    <w:rsid w:val="002A5538"/>
    <w:rsid w:val="002A5D49"/>
    <w:rsid w:val="002A63E4"/>
    <w:rsid w:val="002A6450"/>
    <w:rsid w:val="002A6682"/>
    <w:rsid w:val="002A6FE9"/>
    <w:rsid w:val="002A79E3"/>
    <w:rsid w:val="002B0495"/>
    <w:rsid w:val="002B0E96"/>
    <w:rsid w:val="002B1B3B"/>
    <w:rsid w:val="002B3450"/>
    <w:rsid w:val="002B3815"/>
    <w:rsid w:val="002B3A9A"/>
    <w:rsid w:val="002B419D"/>
    <w:rsid w:val="002B429C"/>
    <w:rsid w:val="002B42B6"/>
    <w:rsid w:val="002B59F6"/>
    <w:rsid w:val="002B6292"/>
    <w:rsid w:val="002B633A"/>
    <w:rsid w:val="002B6CEF"/>
    <w:rsid w:val="002B750D"/>
    <w:rsid w:val="002B7BC4"/>
    <w:rsid w:val="002B7BFF"/>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2B0"/>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42E8"/>
    <w:rsid w:val="002E4368"/>
    <w:rsid w:val="002E46DB"/>
    <w:rsid w:val="002E562A"/>
    <w:rsid w:val="002E5799"/>
    <w:rsid w:val="002E5AB4"/>
    <w:rsid w:val="002E5D1A"/>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B90"/>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4A0"/>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2018"/>
    <w:rsid w:val="003420D9"/>
    <w:rsid w:val="003424EA"/>
    <w:rsid w:val="0034272D"/>
    <w:rsid w:val="00342A7D"/>
    <w:rsid w:val="00342AAB"/>
    <w:rsid w:val="00342F7A"/>
    <w:rsid w:val="00343440"/>
    <w:rsid w:val="00343488"/>
    <w:rsid w:val="0034452A"/>
    <w:rsid w:val="003448AE"/>
    <w:rsid w:val="0034588F"/>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5C10"/>
    <w:rsid w:val="00376400"/>
    <w:rsid w:val="003770A4"/>
    <w:rsid w:val="00377B02"/>
    <w:rsid w:val="00377BDE"/>
    <w:rsid w:val="00380C4B"/>
    <w:rsid w:val="00380F82"/>
    <w:rsid w:val="00381282"/>
    <w:rsid w:val="003821CE"/>
    <w:rsid w:val="003826D3"/>
    <w:rsid w:val="003838D5"/>
    <w:rsid w:val="00383AB5"/>
    <w:rsid w:val="00383FEE"/>
    <w:rsid w:val="0038417D"/>
    <w:rsid w:val="003842D0"/>
    <w:rsid w:val="00384502"/>
    <w:rsid w:val="00384C4E"/>
    <w:rsid w:val="00384D9A"/>
    <w:rsid w:val="0038707B"/>
    <w:rsid w:val="00387499"/>
    <w:rsid w:val="00387B6C"/>
    <w:rsid w:val="003900CC"/>
    <w:rsid w:val="00393315"/>
    <w:rsid w:val="00394008"/>
    <w:rsid w:val="0039424B"/>
    <w:rsid w:val="003955C6"/>
    <w:rsid w:val="003969DE"/>
    <w:rsid w:val="00396FF9"/>
    <w:rsid w:val="003970D8"/>
    <w:rsid w:val="003971B7"/>
    <w:rsid w:val="0039753F"/>
    <w:rsid w:val="003978CE"/>
    <w:rsid w:val="00397BEB"/>
    <w:rsid w:val="003A01A0"/>
    <w:rsid w:val="003A0227"/>
    <w:rsid w:val="003A0F5C"/>
    <w:rsid w:val="003A16D4"/>
    <w:rsid w:val="003A1B8E"/>
    <w:rsid w:val="003A2291"/>
    <w:rsid w:val="003A26FF"/>
    <w:rsid w:val="003A4D9C"/>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5FF2"/>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87B"/>
    <w:rsid w:val="003D1F33"/>
    <w:rsid w:val="003D2724"/>
    <w:rsid w:val="003D2960"/>
    <w:rsid w:val="003D352F"/>
    <w:rsid w:val="003D3659"/>
    <w:rsid w:val="003D36F0"/>
    <w:rsid w:val="003D3761"/>
    <w:rsid w:val="003D3D79"/>
    <w:rsid w:val="003D3F3C"/>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4A12"/>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AEC"/>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3EA"/>
    <w:rsid w:val="00445890"/>
    <w:rsid w:val="00445D09"/>
    <w:rsid w:val="00445D1B"/>
    <w:rsid w:val="00446059"/>
    <w:rsid w:val="00446840"/>
    <w:rsid w:val="004471DD"/>
    <w:rsid w:val="00447BC0"/>
    <w:rsid w:val="00447BDC"/>
    <w:rsid w:val="00447D23"/>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6051B"/>
    <w:rsid w:val="00460EB9"/>
    <w:rsid w:val="00462A27"/>
    <w:rsid w:val="00462E26"/>
    <w:rsid w:val="0046357F"/>
    <w:rsid w:val="004639A0"/>
    <w:rsid w:val="00464387"/>
    <w:rsid w:val="00464809"/>
    <w:rsid w:val="00465007"/>
    <w:rsid w:val="004652DB"/>
    <w:rsid w:val="004654E7"/>
    <w:rsid w:val="00465ABB"/>
    <w:rsid w:val="004663AF"/>
    <w:rsid w:val="004669E9"/>
    <w:rsid w:val="004700B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7C"/>
    <w:rsid w:val="00480732"/>
    <w:rsid w:val="0048110A"/>
    <w:rsid w:val="00481611"/>
    <w:rsid w:val="0048179B"/>
    <w:rsid w:val="00481B8C"/>
    <w:rsid w:val="004825DC"/>
    <w:rsid w:val="00482CB5"/>
    <w:rsid w:val="00482CF8"/>
    <w:rsid w:val="00483716"/>
    <w:rsid w:val="004841C4"/>
    <w:rsid w:val="00484428"/>
    <w:rsid w:val="00484F95"/>
    <w:rsid w:val="00485876"/>
    <w:rsid w:val="00485DF7"/>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BF9"/>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C783D"/>
    <w:rsid w:val="004D0DFF"/>
    <w:rsid w:val="004D0F23"/>
    <w:rsid w:val="004D1531"/>
    <w:rsid w:val="004D1A5C"/>
    <w:rsid w:val="004D1BEE"/>
    <w:rsid w:val="004D1C34"/>
    <w:rsid w:val="004D2D87"/>
    <w:rsid w:val="004D33A7"/>
    <w:rsid w:val="004D340B"/>
    <w:rsid w:val="004D43D5"/>
    <w:rsid w:val="004D4860"/>
    <w:rsid w:val="004D51B0"/>
    <w:rsid w:val="004D578D"/>
    <w:rsid w:val="004D658B"/>
    <w:rsid w:val="004D69A7"/>
    <w:rsid w:val="004D6FBF"/>
    <w:rsid w:val="004D72D5"/>
    <w:rsid w:val="004E031E"/>
    <w:rsid w:val="004E13F4"/>
    <w:rsid w:val="004E1555"/>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4F7C7B"/>
    <w:rsid w:val="005002EC"/>
    <w:rsid w:val="00501255"/>
    <w:rsid w:val="00501517"/>
    <w:rsid w:val="00501A01"/>
    <w:rsid w:val="00501D6C"/>
    <w:rsid w:val="005020C6"/>
    <w:rsid w:val="00502160"/>
    <w:rsid w:val="00503690"/>
    <w:rsid w:val="00503834"/>
    <w:rsid w:val="00503C68"/>
    <w:rsid w:val="00504C1D"/>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408D"/>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2D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3C7"/>
    <w:rsid w:val="005534EE"/>
    <w:rsid w:val="0055373C"/>
    <w:rsid w:val="00553BB2"/>
    <w:rsid w:val="00554FBF"/>
    <w:rsid w:val="0055550D"/>
    <w:rsid w:val="00555E35"/>
    <w:rsid w:val="00556728"/>
    <w:rsid w:val="00556A55"/>
    <w:rsid w:val="00557542"/>
    <w:rsid w:val="00560301"/>
    <w:rsid w:val="00561966"/>
    <w:rsid w:val="00561C34"/>
    <w:rsid w:val="00562F39"/>
    <w:rsid w:val="00563111"/>
    <w:rsid w:val="00564539"/>
    <w:rsid w:val="005653E0"/>
    <w:rsid w:val="00565786"/>
    <w:rsid w:val="00566816"/>
    <w:rsid w:val="0056765E"/>
    <w:rsid w:val="00567E17"/>
    <w:rsid w:val="00572379"/>
    <w:rsid w:val="005724AC"/>
    <w:rsid w:val="00573F8E"/>
    <w:rsid w:val="00575876"/>
    <w:rsid w:val="00575CD1"/>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66C"/>
    <w:rsid w:val="005D7827"/>
    <w:rsid w:val="005E0178"/>
    <w:rsid w:val="005E0BE2"/>
    <w:rsid w:val="005E0DCD"/>
    <w:rsid w:val="005E128D"/>
    <w:rsid w:val="005E4724"/>
    <w:rsid w:val="005E52CA"/>
    <w:rsid w:val="005E5985"/>
    <w:rsid w:val="005E5F37"/>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884"/>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DE1"/>
    <w:rsid w:val="00616EC6"/>
    <w:rsid w:val="00617472"/>
    <w:rsid w:val="00617873"/>
    <w:rsid w:val="006206A0"/>
    <w:rsid w:val="00620F88"/>
    <w:rsid w:val="00621321"/>
    <w:rsid w:val="00622066"/>
    <w:rsid w:val="006226BC"/>
    <w:rsid w:val="00622DF0"/>
    <w:rsid w:val="00624011"/>
    <w:rsid w:val="00624ED8"/>
    <w:rsid w:val="0062506F"/>
    <w:rsid w:val="006258A4"/>
    <w:rsid w:val="00626655"/>
    <w:rsid w:val="006266FF"/>
    <w:rsid w:val="0063019F"/>
    <w:rsid w:val="0063052A"/>
    <w:rsid w:val="00630642"/>
    <w:rsid w:val="00630E70"/>
    <w:rsid w:val="00630F44"/>
    <w:rsid w:val="00631D63"/>
    <w:rsid w:val="006320EF"/>
    <w:rsid w:val="00632C17"/>
    <w:rsid w:val="0063326A"/>
    <w:rsid w:val="00634B46"/>
    <w:rsid w:val="0063510B"/>
    <w:rsid w:val="006353D8"/>
    <w:rsid w:val="00635E55"/>
    <w:rsid w:val="006368A4"/>
    <w:rsid w:val="00636BCC"/>
    <w:rsid w:val="006402C4"/>
    <w:rsid w:val="006407AD"/>
    <w:rsid w:val="006409D7"/>
    <w:rsid w:val="006411F6"/>
    <w:rsid w:val="0064248D"/>
    <w:rsid w:val="00642655"/>
    <w:rsid w:val="006428A0"/>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A9B"/>
    <w:rsid w:val="00655D8B"/>
    <w:rsid w:val="00655E47"/>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2EC"/>
    <w:rsid w:val="0066338C"/>
    <w:rsid w:val="00663C2D"/>
    <w:rsid w:val="00663D41"/>
    <w:rsid w:val="0066405C"/>
    <w:rsid w:val="00664194"/>
    <w:rsid w:val="00664E35"/>
    <w:rsid w:val="00665A62"/>
    <w:rsid w:val="00665B59"/>
    <w:rsid w:val="00665C04"/>
    <w:rsid w:val="00666664"/>
    <w:rsid w:val="006669AD"/>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0BCB"/>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24"/>
    <w:rsid w:val="006974B2"/>
    <w:rsid w:val="006A1D86"/>
    <w:rsid w:val="006A2200"/>
    <w:rsid w:val="006A2C6F"/>
    <w:rsid w:val="006A2C80"/>
    <w:rsid w:val="006A323E"/>
    <w:rsid w:val="006A3A52"/>
    <w:rsid w:val="006A3B10"/>
    <w:rsid w:val="006A3B97"/>
    <w:rsid w:val="006A4F67"/>
    <w:rsid w:val="006A5938"/>
    <w:rsid w:val="006A59D3"/>
    <w:rsid w:val="006A74FF"/>
    <w:rsid w:val="006B0536"/>
    <w:rsid w:val="006B0B8C"/>
    <w:rsid w:val="006B10F8"/>
    <w:rsid w:val="006B1717"/>
    <w:rsid w:val="006B1E50"/>
    <w:rsid w:val="006B2F94"/>
    <w:rsid w:val="006B3667"/>
    <w:rsid w:val="006B368E"/>
    <w:rsid w:val="006B3C70"/>
    <w:rsid w:val="006B4510"/>
    <w:rsid w:val="006B4D0D"/>
    <w:rsid w:val="006B54B4"/>
    <w:rsid w:val="006B55E8"/>
    <w:rsid w:val="006B65E2"/>
    <w:rsid w:val="006B721C"/>
    <w:rsid w:val="006B737D"/>
    <w:rsid w:val="006C021D"/>
    <w:rsid w:val="006C037F"/>
    <w:rsid w:val="006C08AD"/>
    <w:rsid w:val="006C09A1"/>
    <w:rsid w:val="006C0C20"/>
    <w:rsid w:val="006C1354"/>
    <w:rsid w:val="006C16F0"/>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4D6"/>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0243"/>
    <w:rsid w:val="006F1A76"/>
    <w:rsid w:val="006F286D"/>
    <w:rsid w:val="006F2CE0"/>
    <w:rsid w:val="006F305B"/>
    <w:rsid w:val="006F425C"/>
    <w:rsid w:val="006F49E5"/>
    <w:rsid w:val="006F5625"/>
    <w:rsid w:val="006F5AEB"/>
    <w:rsid w:val="006F6ED2"/>
    <w:rsid w:val="007001C8"/>
    <w:rsid w:val="00700405"/>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80F"/>
    <w:rsid w:val="00710FE8"/>
    <w:rsid w:val="00711204"/>
    <w:rsid w:val="0071157A"/>
    <w:rsid w:val="0071202B"/>
    <w:rsid w:val="007131C6"/>
    <w:rsid w:val="007134D5"/>
    <w:rsid w:val="00713B22"/>
    <w:rsid w:val="007144E6"/>
    <w:rsid w:val="007145FD"/>
    <w:rsid w:val="00714DEC"/>
    <w:rsid w:val="00714E8D"/>
    <w:rsid w:val="00715685"/>
    <w:rsid w:val="00715CD0"/>
    <w:rsid w:val="00716249"/>
    <w:rsid w:val="007163F8"/>
    <w:rsid w:val="00716B9D"/>
    <w:rsid w:val="007179C4"/>
    <w:rsid w:val="00720176"/>
    <w:rsid w:val="007210FC"/>
    <w:rsid w:val="00721122"/>
    <w:rsid w:val="0072167D"/>
    <w:rsid w:val="00721B23"/>
    <w:rsid w:val="00721C72"/>
    <w:rsid w:val="00722229"/>
    <w:rsid w:val="007226BA"/>
    <w:rsid w:val="00722727"/>
    <w:rsid w:val="00722EC2"/>
    <w:rsid w:val="00722EF7"/>
    <w:rsid w:val="00723177"/>
    <w:rsid w:val="00723A8E"/>
    <w:rsid w:val="0072488E"/>
    <w:rsid w:val="00725F80"/>
    <w:rsid w:val="00726300"/>
    <w:rsid w:val="007271D2"/>
    <w:rsid w:val="00727C1E"/>
    <w:rsid w:val="00727D0D"/>
    <w:rsid w:val="00727D39"/>
    <w:rsid w:val="00730080"/>
    <w:rsid w:val="00730CFA"/>
    <w:rsid w:val="007312E0"/>
    <w:rsid w:val="007313F0"/>
    <w:rsid w:val="007314A7"/>
    <w:rsid w:val="0073289C"/>
    <w:rsid w:val="00733028"/>
    <w:rsid w:val="00733870"/>
    <w:rsid w:val="00733DD6"/>
    <w:rsid w:val="00733F75"/>
    <w:rsid w:val="0073410D"/>
    <w:rsid w:val="0073431D"/>
    <w:rsid w:val="0073609F"/>
    <w:rsid w:val="00736380"/>
    <w:rsid w:val="00736731"/>
    <w:rsid w:val="00737559"/>
    <w:rsid w:val="00737AC7"/>
    <w:rsid w:val="0074015A"/>
    <w:rsid w:val="007408EE"/>
    <w:rsid w:val="007426CB"/>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3B7A"/>
    <w:rsid w:val="00754010"/>
    <w:rsid w:val="0075417C"/>
    <w:rsid w:val="0075450C"/>
    <w:rsid w:val="0075478F"/>
    <w:rsid w:val="00754DEE"/>
    <w:rsid w:val="00755538"/>
    <w:rsid w:val="00755EDF"/>
    <w:rsid w:val="007562D1"/>
    <w:rsid w:val="00756F0B"/>
    <w:rsid w:val="00757F09"/>
    <w:rsid w:val="007602AE"/>
    <w:rsid w:val="007603CA"/>
    <w:rsid w:val="00760503"/>
    <w:rsid w:val="00760E53"/>
    <w:rsid w:val="00760F21"/>
    <w:rsid w:val="00761F7E"/>
    <w:rsid w:val="00762741"/>
    <w:rsid w:val="00763228"/>
    <w:rsid w:val="00763BAE"/>
    <w:rsid w:val="007644DE"/>
    <w:rsid w:val="00764A29"/>
    <w:rsid w:val="00765025"/>
    <w:rsid w:val="0076592F"/>
    <w:rsid w:val="00765AFD"/>
    <w:rsid w:val="00766F82"/>
    <w:rsid w:val="00772DD3"/>
    <w:rsid w:val="00773015"/>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FA8"/>
    <w:rsid w:val="00784117"/>
    <w:rsid w:val="00784CA4"/>
    <w:rsid w:val="00784DB1"/>
    <w:rsid w:val="00784DEB"/>
    <w:rsid w:val="00785368"/>
    <w:rsid w:val="00785E33"/>
    <w:rsid w:val="0078602A"/>
    <w:rsid w:val="007860F9"/>
    <w:rsid w:val="00786E5B"/>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5F74"/>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2EA2"/>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513"/>
    <w:rsid w:val="007E0CEA"/>
    <w:rsid w:val="007E106C"/>
    <w:rsid w:val="007E1555"/>
    <w:rsid w:val="007E2019"/>
    <w:rsid w:val="007E25F5"/>
    <w:rsid w:val="007E3046"/>
    <w:rsid w:val="007E58B9"/>
    <w:rsid w:val="007E5CDF"/>
    <w:rsid w:val="007E72FF"/>
    <w:rsid w:val="007E7820"/>
    <w:rsid w:val="007E791F"/>
    <w:rsid w:val="007F0380"/>
    <w:rsid w:val="007F0E1E"/>
    <w:rsid w:val="007F1890"/>
    <w:rsid w:val="007F2919"/>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1B2"/>
    <w:rsid w:val="00804B3A"/>
    <w:rsid w:val="00804B6E"/>
    <w:rsid w:val="00804CB5"/>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624A"/>
    <w:rsid w:val="00816505"/>
    <w:rsid w:val="008169D9"/>
    <w:rsid w:val="00816BE4"/>
    <w:rsid w:val="00816EDF"/>
    <w:rsid w:val="00817248"/>
    <w:rsid w:val="00817820"/>
    <w:rsid w:val="008178F2"/>
    <w:rsid w:val="008200C1"/>
    <w:rsid w:val="00820C50"/>
    <w:rsid w:val="00820C8C"/>
    <w:rsid w:val="008215E2"/>
    <w:rsid w:val="00821691"/>
    <w:rsid w:val="00822000"/>
    <w:rsid w:val="00822512"/>
    <w:rsid w:val="0082293C"/>
    <w:rsid w:val="00823592"/>
    <w:rsid w:val="00823E1F"/>
    <w:rsid w:val="00824709"/>
    <w:rsid w:val="008252BD"/>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30C"/>
    <w:rsid w:val="00836673"/>
    <w:rsid w:val="00836F63"/>
    <w:rsid w:val="0083781C"/>
    <w:rsid w:val="00837C4F"/>
    <w:rsid w:val="00840250"/>
    <w:rsid w:val="00840386"/>
    <w:rsid w:val="008411C7"/>
    <w:rsid w:val="0084135E"/>
    <w:rsid w:val="00841685"/>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25E0"/>
    <w:rsid w:val="00853968"/>
    <w:rsid w:val="008544D7"/>
    <w:rsid w:val="00854539"/>
    <w:rsid w:val="00855150"/>
    <w:rsid w:val="008553A6"/>
    <w:rsid w:val="00855A60"/>
    <w:rsid w:val="00857171"/>
    <w:rsid w:val="0085736A"/>
    <w:rsid w:val="00857414"/>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6B1A"/>
    <w:rsid w:val="0086760C"/>
    <w:rsid w:val="008679D5"/>
    <w:rsid w:val="00867DC9"/>
    <w:rsid w:val="0087060C"/>
    <w:rsid w:val="00870761"/>
    <w:rsid w:val="00872992"/>
    <w:rsid w:val="00872F2F"/>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0619"/>
    <w:rsid w:val="008D1112"/>
    <w:rsid w:val="008D14BA"/>
    <w:rsid w:val="008D157B"/>
    <w:rsid w:val="008D170D"/>
    <w:rsid w:val="008D3F4C"/>
    <w:rsid w:val="008D426E"/>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68A"/>
    <w:rsid w:val="00912886"/>
    <w:rsid w:val="00912FD0"/>
    <w:rsid w:val="009131CC"/>
    <w:rsid w:val="009131D2"/>
    <w:rsid w:val="009135EF"/>
    <w:rsid w:val="00913A04"/>
    <w:rsid w:val="00913A43"/>
    <w:rsid w:val="009140D0"/>
    <w:rsid w:val="00914CC9"/>
    <w:rsid w:val="00915DFD"/>
    <w:rsid w:val="00916D4D"/>
    <w:rsid w:val="0091724E"/>
    <w:rsid w:val="00917279"/>
    <w:rsid w:val="00917374"/>
    <w:rsid w:val="00917AFE"/>
    <w:rsid w:val="009204F6"/>
    <w:rsid w:val="00920581"/>
    <w:rsid w:val="00920B6B"/>
    <w:rsid w:val="00920D05"/>
    <w:rsid w:val="00921481"/>
    <w:rsid w:val="00922634"/>
    <w:rsid w:val="00922E39"/>
    <w:rsid w:val="00923B3D"/>
    <w:rsid w:val="009240EE"/>
    <w:rsid w:val="009241CD"/>
    <w:rsid w:val="009242F3"/>
    <w:rsid w:val="00924C03"/>
    <w:rsid w:val="009254BA"/>
    <w:rsid w:val="00926320"/>
    <w:rsid w:val="009263B9"/>
    <w:rsid w:val="00926B19"/>
    <w:rsid w:val="0092780E"/>
    <w:rsid w:val="009305A0"/>
    <w:rsid w:val="00930751"/>
    <w:rsid w:val="00930C93"/>
    <w:rsid w:val="00932433"/>
    <w:rsid w:val="00932C4B"/>
    <w:rsid w:val="0093302B"/>
    <w:rsid w:val="00933368"/>
    <w:rsid w:val="009337EB"/>
    <w:rsid w:val="00934E4A"/>
    <w:rsid w:val="00934F1C"/>
    <w:rsid w:val="00934F9C"/>
    <w:rsid w:val="00935DFB"/>
    <w:rsid w:val="00936088"/>
    <w:rsid w:val="009367DB"/>
    <w:rsid w:val="0093767B"/>
    <w:rsid w:val="00937794"/>
    <w:rsid w:val="00940D3C"/>
    <w:rsid w:val="00941D7F"/>
    <w:rsid w:val="009449EA"/>
    <w:rsid w:val="009453CF"/>
    <w:rsid w:val="00945A15"/>
    <w:rsid w:val="009461CC"/>
    <w:rsid w:val="0094697D"/>
    <w:rsid w:val="00947318"/>
    <w:rsid w:val="00947627"/>
    <w:rsid w:val="00950403"/>
    <w:rsid w:val="00950F0C"/>
    <w:rsid w:val="0095102F"/>
    <w:rsid w:val="0095112E"/>
    <w:rsid w:val="009527E9"/>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42C8"/>
    <w:rsid w:val="00974CD3"/>
    <w:rsid w:val="00975596"/>
    <w:rsid w:val="0097588D"/>
    <w:rsid w:val="009758C5"/>
    <w:rsid w:val="0097624E"/>
    <w:rsid w:val="00976F95"/>
    <w:rsid w:val="00977018"/>
    <w:rsid w:val="0097724E"/>
    <w:rsid w:val="00977BAB"/>
    <w:rsid w:val="00977F0B"/>
    <w:rsid w:val="00980451"/>
    <w:rsid w:val="00980EDD"/>
    <w:rsid w:val="00981107"/>
    <w:rsid w:val="009814E7"/>
    <w:rsid w:val="00981D2E"/>
    <w:rsid w:val="00981FAF"/>
    <w:rsid w:val="00983910"/>
    <w:rsid w:val="00983FBB"/>
    <w:rsid w:val="009849B6"/>
    <w:rsid w:val="00984F0E"/>
    <w:rsid w:val="00985351"/>
    <w:rsid w:val="009853B6"/>
    <w:rsid w:val="009854C4"/>
    <w:rsid w:val="009866F8"/>
    <w:rsid w:val="009873A2"/>
    <w:rsid w:val="00987779"/>
    <w:rsid w:val="00987945"/>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B03"/>
    <w:rsid w:val="009A4FBA"/>
    <w:rsid w:val="009A5E57"/>
    <w:rsid w:val="009A600D"/>
    <w:rsid w:val="009A6220"/>
    <w:rsid w:val="009A62EE"/>
    <w:rsid w:val="009A665C"/>
    <w:rsid w:val="009A7C04"/>
    <w:rsid w:val="009B034E"/>
    <w:rsid w:val="009B03DE"/>
    <w:rsid w:val="009B1302"/>
    <w:rsid w:val="009B139A"/>
    <w:rsid w:val="009B1D0F"/>
    <w:rsid w:val="009B20B3"/>
    <w:rsid w:val="009B3A7D"/>
    <w:rsid w:val="009B3DEA"/>
    <w:rsid w:val="009B41B8"/>
    <w:rsid w:val="009B43BB"/>
    <w:rsid w:val="009B4B37"/>
    <w:rsid w:val="009B544B"/>
    <w:rsid w:val="009B6958"/>
    <w:rsid w:val="009B6FBB"/>
    <w:rsid w:val="009B710B"/>
    <w:rsid w:val="009B73A0"/>
    <w:rsid w:val="009B7BDD"/>
    <w:rsid w:val="009C0495"/>
    <w:rsid w:val="009C0727"/>
    <w:rsid w:val="009C12C2"/>
    <w:rsid w:val="009C1657"/>
    <w:rsid w:val="009C19F0"/>
    <w:rsid w:val="009C1A22"/>
    <w:rsid w:val="009C2352"/>
    <w:rsid w:val="009C3C0C"/>
    <w:rsid w:val="009C43D3"/>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09"/>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DAB"/>
    <w:rsid w:val="009F5F70"/>
    <w:rsid w:val="009F67A3"/>
    <w:rsid w:val="009F67DE"/>
    <w:rsid w:val="009F6B6C"/>
    <w:rsid w:val="009F71C4"/>
    <w:rsid w:val="009F7F88"/>
    <w:rsid w:val="00A00F45"/>
    <w:rsid w:val="00A0110C"/>
    <w:rsid w:val="00A015A2"/>
    <w:rsid w:val="00A0199F"/>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145"/>
    <w:rsid w:val="00A14AE0"/>
    <w:rsid w:val="00A14DF3"/>
    <w:rsid w:val="00A15026"/>
    <w:rsid w:val="00A157D0"/>
    <w:rsid w:val="00A158F0"/>
    <w:rsid w:val="00A15AC6"/>
    <w:rsid w:val="00A15E51"/>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9A5"/>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243"/>
    <w:rsid w:val="00A524D4"/>
    <w:rsid w:val="00A524D5"/>
    <w:rsid w:val="00A5255F"/>
    <w:rsid w:val="00A5364F"/>
    <w:rsid w:val="00A53DDA"/>
    <w:rsid w:val="00A53FE0"/>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394"/>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31C"/>
    <w:rsid w:val="00A734CD"/>
    <w:rsid w:val="00A74046"/>
    <w:rsid w:val="00A74AFD"/>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1FBC"/>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9EF"/>
    <w:rsid w:val="00AA7A65"/>
    <w:rsid w:val="00AA7F1E"/>
    <w:rsid w:val="00AB04AF"/>
    <w:rsid w:val="00AB297C"/>
    <w:rsid w:val="00AB2DDD"/>
    <w:rsid w:val="00AB4BED"/>
    <w:rsid w:val="00AB4CC7"/>
    <w:rsid w:val="00AB544F"/>
    <w:rsid w:val="00AB55A8"/>
    <w:rsid w:val="00AB5817"/>
    <w:rsid w:val="00AB6E6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8A5"/>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062"/>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E5F"/>
    <w:rsid w:val="00B65011"/>
    <w:rsid w:val="00B6503B"/>
    <w:rsid w:val="00B65B4D"/>
    <w:rsid w:val="00B65BE0"/>
    <w:rsid w:val="00B66265"/>
    <w:rsid w:val="00B664FC"/>
    <w:rsid w:val="00B66CF3"/>
    <w:rsid w:val="00B67E76"/>
    <w:rsid w:val="00B70D19"/>
    <w:rsid w:val="00B71F3F"/>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1F8C"/>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E85"/>
    <w:rsid w:val="00B950ED"/>
    <w:rsid w:val="00B95577"/>
    <w:rsid w:val="00B95B6E"/>
    <w:rsid w:val="00B96889"/>
    <w:rsid w:val="00B96897"/>
    <w:rsid w:val="00B9791B"/>
    <w:rsid w:val="00BA0263"/>
    <w:rsid w:val="00BA06D9"/>
    <w:rsid w:val="00BA0737"/>
    <w:rsid w:val="00BA1572"/>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4E33"/>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24"/>
    <w:rsid w:val="00BE2338"/>
    <w:rsid w:val="00BE24CD"/>
    <w:rsid w:val="00BE3002"/>
    <w:rsid w:val="00BE3472"/>
    <w:rsid w:val="00BE3E91"/>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BF5"/>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294E"/>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BDA"/>
    <w:rsid w:val="00C537FE"/>
    <w:rsid w:val="00C544FC"/>
    <w:rsid w:val="00C54C95"/>
    <w:rsid w:val="00C559F4"/>
    <w:rsid w:val="00C55A94"/>
    <w:rsid w:val="00C575C5"/>
    <w:rsid w:val="00C575D5"/>
    <w:rsid w:val="00C57FEC"/>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2DB"/>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645B"/>
    <w:rsid w:val="00C86F4F"/>
    <w:rsid w:val="00C870CE"/>
    <w:rsid w:val="00C905F2"/>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6E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2D2A"/>
    <w:rsid w:val="00CF3278"/>
    <w:rsid w:val="00CF35F4"/>
    <w:rsid w:val="00CF4987"/>
    <w:rsid w:val="00CF675E"/>
    <w:rsid w:val="00CF68F9"/>
    <w:rsid w:val="00CF6F01"/>
    <w:rsid w:val="00CF74E1"/>
    <w:rsid w:val="00D00261"/>
    <w:rsid w:val="00D0197A"/>
    <w:rsid w:val="00D0230F"/>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71F7"/>
    <w:rsid w:val="00D27607"/>
    <w:rsid w:val="00D27A4E"/>
    <w:rsid w:val="00D27DB9"/>
    <w:rsid w:val="00D3073F"/>
    <w:rsid w:val="00D30F6B"/>
    <w:rsid w:val="00D311DF"/>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6EB8"/>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6F3"/>
    <w:rsid w:val="00D60F93"/>
    <w:rsid w:val="00D61D8D"/>
    <w:rsid w:val="00D6258D"/>
    <w:rsid w:val="00D62667"/>
    <w:rsid w:val="00D62B7D"/>
    <w:rsid w:val="00D63416"/>
    <w:rsid w:val="00D640B5"/>
    <w:rsid w:val="00D64952"/>
    <w:rsid w:val="00D64BDA"/>
    <w:rsid w:val="00D64BDE"/>
    <w:rsid w:val="00D64C65"/>
    <w:rsid w:val="00D6527F"/>
    <w:rsid w:val="00D658E3"/>
    <w:rsid w:val="00D6591E"/>
    <w:rsid w:val="00D65D1C"/>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A96"/>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287A"/>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0F6"/>
    <w:rsid w:val="00DB5941"/>
    <w:rsid w:val="00DB5CE2"/>
    <w:rsid w:val="00DB662D"/>
    <w:rsid w:val="00DB68CA"/>
    <w:rsid w:val="00DB6CC9"/>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B81"/>
    <w:rsid w:val="00DD413F"/>
    <w:rsid w:val="00DD5069"/>
    <w:rsid w:val="00DD561F"/>
    <w:rsid w:val="00DD5D32"/>
    <w:rsid w:val="00DD5DC5"/>
    <w:rsid w:val="00DD5E49"/>
    <w:rsid w:val="00DD69DC"/>
    <w:rsid w:val="00DD6C37"/>
    <w:rsid w:val="00DD78A4"/>
    <w:rsid w:val="00DD7A26"/>
    <w:rsid w:val="00DD7A94"/>
    <w:rsid w:val="00DE01A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054"/>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7B3"/>
    <w:rsid w:val="00E03C87"/>
    <w:rsid w:val="00E03E36"/>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390"/>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48C4"/>
    <w:rsid w:val="00E453EE"/>
    <w:rsid w:val="00E45F4B"/>
    <w:rsid w:val="00E4634B"/>
    <w:rsid w:val="00E46642"/>
    <w:rsid w:val="00E46BC4"/>
    <w:rsid w:val="00E47756"/>
    <w:rsid w:val="00E501CB"/>
    <w:rsid w:val="00E50C66"/>
    <w:rsid w:val="00E50C6A"/>
    <w:rsid w:val="00E51485"/>
    <w:rsid w:val="00E51D69"/>
    <w:rsid w:val="00E52082"/>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20D8"/>
    <w:rsid w:val="00E92846"/>
    <w:rsid w:val="00E93052"/>
    <w:rsid w:val="00E93697"/>
    <w:rsid w:val="00E93C63"/>
    <w:rsid w:val="00E93FE5"/>
    <w:rsid w:val="00E94B18"/>
    <w:rsid w:val="00E94C08"/>
    <w:rsid w:val="00E94D1C"/>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550"/>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0972"/>
    <w:rsid w:val="00ED157D"/>
    <w:rsid w:val="00ED1937"/>
    <w:rsid w:val="00ED29BA"/>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3A6"/>
    <w:rsid w:val="00F04E36"/>
    <w:rsid w:val="00F05D0B"/>
    <w:rsid w:val="00F05F19"/>
    <w:rsid w:val="00F06C88"/>
    <w:rsid w:val="00F072D8"/>
    <w:rsid w:val="00F07A0B"/>
    <w:rsid w:val="00F10DF7"/>
    <w:rsid w:val="00F1154D"/>
    <w:rsid w:val="00F11799"/>
    <w:rsid w:val="00F1196F"/>
    <w:rsid w:val="00F11DB7"/>
    <w:rsid w:val="00F11FEF"/>
    <w:rsid w:val="00F12453"/>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196C"/>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0F75"/>
    <w:rsid w:val="00F61215"/>
    <w:rsid w:val="00F612B4"/>
    <w:rsid w:val="00F630E9"/>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381E"/>
    <w:rsid w:val="00F838F2"/>
    <w:rsid w:val="00F83B2D"/>
    <w:rsid w:val="00F84364"/>
    <w:rsid w:val="00F84BEB"/>
    <w:rsid w:val="00F85C9E"/>
    <w:rsid w:val="00F87C08"/>
    <w:rsid w:val="00F87C10"/>
    <w:rsid w:val="00F902A1"/>
    <w:rsid w:val="00F902C3"/>
    <w:rsid w:val="00F90A50"/>
    <w:rsid w:val="00F90D35"/>
    <w:rsid w:val="00F9137A"/>
    <w:rsid w:val="00F9170D"/>
    <w:rsid w:val="00F91EE9"/>
    <w:rsid w:val="00F9264C"/>
    <w:rsid w:val="00F9269A"/>
    <w:rsid w:val="00F928DA"/>
    <w:rsid w:val="00F92E89"/>
    <w:rsid w:val="00F93A68"/>
    <w:rsid w:val="00F93EA0"/>
    <w:rsid w:val="00F94466"/>
    <w:rsid w:val="00F9492C"/>
    <w:rsid w:val="00F951EB"/>
    <w:rsid w:val="00F952F7"/>
    <w:rsid w:val="00F95BC3"/>
    <w:rsid w:val="00F95CC3"/>
    <w:rsid w:val="00F96267"/>
    <w:rsid w:val="00F969EE"/>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16A1"/>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8EF"/>
    <w:rsid w:val="00FC091B"/>
    <w:rsid w:val="00FC0B6E"/>
    <w:rsid w:val="00FC14E7"/>
    <w:rsid w:val="00FC17E4"/>
    <w:rsid w:val="00FC1B45"/>
    <w:rsid w:val="00FC1C9F"/>
    <w:rsid w:val="00FC2D9E"/>
    <w:rsid w:val="00FC3061"/>
    <w:rsid w:val="00FC38F9"/>
    <w:rsid w:val="00FC3C19"/>
    <w:rsid w:val="00FC43F3"/>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A19"/>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4FB"/>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2026</TotalTime>
  <Pages>7</Pages>
  <Words>2693</Words>
  <Characters>15353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R1-2305187</vt:lpstr>
    </vt:vector>
  </TitlesOfParts>
  <Company>MediaTek</Company>
  <LinksUpToDate>false</LinksUpToDate>
  <CharactersWithSpaces>18010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R1-2306814</dc:title>
  <dc:creator/>
  <cp:keywords/>
  <cp:lastModifiedBy>Mohammed Al-Imari</cp:lastModifiedBy>
  <cp:revision>675</cp:revision>
  <cp:lastPrinted>2017-05-05T16:44:00Z</cp:lastPrinted>
  <dcterms:created xsi:type="dcterms:W3CDTF">2022-09-30T12:57:00Z</dcterms:created>
  <dcterms:modified xsi:type="dcterms:W3CDTF">2023-08-11T11:42:00Z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